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2"/>
        </w:rPr>
      </w:pPr>
      <w:r>
        <w:rPr>
          <w:rFonts w:hint="eastAsia" w:ascii="黑体" w:eastAsia="黑体"/>
          <w:b/>
          <w:bCs/>
          <w:sz w:val="32"/>
        </w:rPr>
        <w:t>《</w:t>
      </w:r>
      <w:bookmarkStart w:id="0" w:name="_Hlk85916944"/>
      <w:r>
        <w:rPr>
          <w:rFonts w:hint="eastAsia" w:ascii="黑体" w:eastAsia="黑体"/>
          <w:b/>
          <w:bCs/>
          <w:sz w:val="32"/>
        </w:rPr>
        <w:t>果蔬类农产品乡村物流资源数据要求</w:t>
      </w:r>
      <w:bookmarkEnd w:id="0"/>
      <w:r>
        <w:rPr>
          <w:rFonts w:hint="eastAsia" w:ascii="黑体" w:eastAsia="黑体"/>
          <w:b/>
          <w:bCs/>
          <w:sz w:val="32"/>
        </w:rPr>
        <w:t>》团体标准</w:t>
      </w:r>
    </w:p>
    <w:p>
      <w:pPr>
        <w:jc w:val="center"/>
        <w:rPr>
          <w:rFonts w:ascii="黑体" w:eastAsia="黑体"/>
          <w:b/>
          <w:bCs/>
          <w:sz w:val="32"/>
        </w:rPr>
      </w:pPr>
      <w:r>
        <w:rPr>
          <w:rFonts w:hint="eastAsia" w:ascii="黑体" w:eastAsia="黑体"/>
          <w:b/>
          <w:bCs/>
          <w:sz w:val="32"/>
        </w:rPr>
        <w:t>（征求意见稿）</w:t>
      </w:r>
    </w:p>
    <w:p>
      <w:pPr>
        <w:jc w:val="center"/>
        <w:rPr>
          <w:rFonts w:ascii="黑体" w:eastAsia="黑体"/>
          <w:b/>
          <w:bCs/>
          <w:sz w:val="32"/>
        </w:rPr>
      </w:pPr>
      <w:r>
        <w:rPr>
          <w:rFonts w:hint="eastAsia" w:ascii="黑体" w:eastAsia="黑体"/>
          <w:b/>
          <w:bCs/>
          <w:sz w:val="32"/>
        </w:rPr>
        <w:t>编制说明</w:t>
      </w:r>
    </w:p>
    <w:p>
      <w:pPr>
        <w:jc w:val="center"/>
        <w:rPr>
          <w:rFonts w:ascii="黑体" w:eastAsia="黑体"/>
          <w:b/>
          <w:bCs/>
          <w:sz w:val="32"/>
        </w:rPr>
      </w:pP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一、项目来源</w:t>
      </w:r>
    </w:p>
    <w:p>
      <w:pPr>
        <w:pStyle w:val="17"/>
        <w:ind w:right="-105" w:firstLine="565"/>
        <w:rPr>
          <w:rFonts w:ascii="仿宋_GB2312" w:hAnsi="宋体" w:eastAsia="仿宋_GB2312"/>
          <w:sz w:val="28"/>
          <w:szCs w:val="28"/>
        </w:rPr>
      </w:pPr>
      <w:r>
        <w:rPr>
          <w:rFonts w:hint="eastAsia" w:ascii="仿宋_GB2312" w:hAnsi="宋体" w:eastAsia="仿宋_GB2312"/>
          <w:sz w:val="28"/>
          <w:szCs w:val="28"/>
        </w:rPr>
        <w:t>《果蔬类农产品乡村物流资源数据要求》团体标准项目列入中国物流与采购联合会《202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年第</w:t>
      </w:r>
      <w:r>
        <w:rPr>
          <w:rFonts w:hint="eastAsia" w:ascii="仿宋_GB2312" w:hAnsi="宋体" w:eastAsia="仿宋_GB2312"/>
          <w:sz w:val="28"/>
          <w:szCs w:val="28"/>
          <w:lang w:val="en-US" w:eastAsia="zh-CN"/>
        </w:rPr>
        <w:t>三</w:t>
      </w:r>
      <w:r>
        <w:rPr>
          <w:rFonts w:hint="eastAsia" w:ascii="仿宋_GB2312" w:hAnsi="宋体" w:eastAsia="仿宋_GB2312"/>
          <w:sz w:val="28"/>
          <w:szCs w:val="28"/>
        </w:rPr>
        <w:t>季度中国物流与采购联合会团体标准项目计划》（物联标字〔202</w:t>
      </w:r>
      <w:r>
        <w:rPr>
          <w:rFonts w:hint="eastAsia" w:ascii="仿宋_GB2312" w:hAnsi="宋体" w:eastAsia="仿宋_GB2312"/>
          <w:sz w:val="28"/>
          <w:szCs w:val="28"/>
          <w:lang w:val="en-US" w:eastAsia="zh-CN"/>
        </w:rPr>
        <w:t>1</w:t>
      </w:r>
      <w:r>
        <w:rPr>
          <w:rFonts w:hint="eastAsia" w:ascii="仿宋_GB2312" w:hAnsi="宋体" w:eastAsia="仿宋_GB2312"/>
          <w:sz w:val="28"/>
          <w:szCs w:val="28"/>
        </w:rPr>
        <w:t>〕</w:t>
      </w:r>
      <w:r>
        <w:rPr>
          <w:rFonts w:hint="eastAsia" w:ascii="仿宋_GB2312" w:hAnsi="宋体" w:eastAsia="仿宋_GB2312"/>
          <w:sz w:val="28"/>
          <w:szCs w:val="28"/>
          <w:lang w:val="en-US" w:eastAsia="zh-CN"/>
        </w:rPr>
        <w:t>86</w:t>
      </w:r>
      <w:r>
        <w:rPr>
          <w:rFonts w:hint="eastAsia" w:ascii="仿宋_GB2312" w:hAnsi="宋体" w:eastAsia="仿宋_GB2312"/>
          <w:sz w:val="28"/>
          <w:szCs w:val="28"/>
        </w:rPr>
        <w:t xml:space="preserve"> 号）文件</w:t>
      </w:r>
      <w:r>
        <w:rPr>
          <w:rFonts w:hint="eastAsia" w:ascii="仿宋_GB2312" w:hAnsi="宋体" w:eastAsia="仿宋_GB2312"/>
          <w:sz w:val="28"/>
          <w:szCs w:val="28"/>
          <w:lang w:eastAsia="zh-CN"/>
        </w:rPr>
        <w:t>，</w:t>
      </w:r>
      <w:r>
        <w:rPr>
          <w:rFonts w:hint="eastAsia" w:ascii="仿宋_GB2312" w:hAnsi="宋体" w:eastAsia="仿宋_GB2312"/>
          <w:sz w:val="28"/>
          <w:szCs w:val="28"/>
        </w:rPr>
        <w:t>项目编号为：2021-TB-009</w:t>
      </w:r>
      <w:r>
        <w:rPr>
          <w:rFonts w:hint="eastAsia" w:ascii="仿宋_GB2312" w:hAnsi="宋体" w:eastAsia="仿宋_GB2312"/>
          <w:sz w:val="28"/>
          <w:szCs w:val="28"/>
          <w:lang w:eastAsia="zh-CN"/>
        </w:rPr>
        <w:t>。本标准按照GB/T 1.1—2020给出的规则，</w:t>
      </w:r>
      <w:r>
        <w:rPr>
          <w:rFonts w:hint="eastAsia" w:ascii="仿宋_GB2312" w:hAnsi="宋体" w:eastAsia="仿宋_GB2312"/>
          <w:sz w:val="28"/>
          <w:szCs w:val="28"/>
        </w:rPr>
        <w:t>由中国物流与采购联合会提出并归口，北京京东尚科信息技术有限公司、中国物流与采购联合会</w:t>
      </w:r>
      <w:r>
        <w:rPr>
          <w:rFonts w:hint="eastAsia" w:ascii="仿宋_GB2312" w:hAnsi="宋体" w:eastAsia="仿宋_GB2312"/>
          <w:sz w:val="28"/>
          <w:szCs w:val="28"/>
          <w:lang w:val="en-US" w:eastAsia="zh-CN"/>
        </w:rPr>
        <w:t>食材</w:t>
      </w:r>
      <w:r>
        <w:rPr>
          <w:rFonts w:hint="eastAsia" w:ascii="仿宋_GB2312" w:hAnsi="宋体" w:eastAsia="仿宋_GB2312"/>
          <w:sz w:val="28"/>
          <w:szCs w:val="28"/>
        </w:rPr>
        <w:t>供应链分会、大连理工大学、北京京东乾石科技有限公司、北京京邦</w:t>
      </w:r>
      <w:bookmarkStart w:id="10" w:name="_GoBack"/>
      <w:bookmarkEnd w:id="10"/>
      <w:r>
        <w:rPr>
          <w:rFonts w:hint="eastAsia" w:ascii="仿宋_GB2312" w:hAnsi="宋体" w:eastAsia="仿宋_GB2312"/>
          <w:sz w:val="28"/>
          <w:szCs w:val="28"/>
        </w:rPr>
        <w:t>达贸易有限公司、西北农林科技大学、北京市农林科学院智能装备技术研究中心、国家农产品现代物流工程技术研究中心、北京三快科技有限公司负责起草。</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二、标准编写的目的、意义</w:t>
      </w:r>
    </w:p>
    <w:p>
      <w:pPr>
        <w:widowControl/>
        <w:ind w:firstLine="560" w:firstLineChars="200"/>
        <w:jc w:val="left"/>
        <w:rPr>
          <w:rFonts w:ascii="仿宋_GB2312" w:hAnsi="宋体" w:eastAsia="仿宋_GB2312"/>
          <w:sz w:val="28"/>
          <w:szCs w:val="28"/>
        </w:rPr>
      </w:pPr>
      <w:r>
        <w:rPr>
          <w:rFonts w:hint="eastAsia" w:ascii="仿宋_GB2312" w:hAnsi="宋体" w:eastAsia="仿宋_GB2312"/>
          <w:sz w:val="28"/>
          <w:szCs w:val="28"/>
        </w:rPr>
        <w:t>在过去的20年里，数据已经渗透到各行各业中并成为了重要的生产要素。2015年国务院印发《促进大数据发展行动纲要》，其指出了数据是推动经济转型发展的新动力，2</w:t>
      </w:r>
      <w:r>
        <w:rPr>
          <w:rFonts w:ascii="仿宋_GB2312" w:hAnsi="宋体" w:eastAsia="仿宋_GB2312"/>
          <w:sz w:val="28"/>
          <w:szCs w:val="28"/>
        </w:rPr>
        <w:t>017</w:t>
      </w:r>
      <w:r>
        <w:rPr>
          <w:rFonts w:hint="eastAsia" w:ascii="仿宋_GB2312" w:hAnsi="宋体" w:eastAsia="仿宋_GB2312"/>
          <w:sz w:val="28"/>
          <w:szCs w:val="28"/>
        </w:rPr>
        <w:t>年农业部颁发了《关于推进农业农村大数据发展的实施意见》强调了我国乡村农业数据历史长、数量大、类型多的特点以及伴随而来的核心数据缺失、数据质量不高、共享开放不足、开发利用不够等问题，这些问题导致现有数据无法满足乡村农业的发展需要。因此，完善乡村数据的标准体系、加快数据整合共享、挖掘数据的价值，深化大数据在资源整合、经营、管理和服务等方面的创新应用已经成为乡村农业数字化转型的核心工作。</w:t>
      </w:r>
    </w:p>
    <w:p>
      <w:pPr>
        <w:pStyle w:val="17"/>
        <w:ind w:right="-105" w:firstLine="560" w:firstLineChars="200"/>
        <w:rPr>
          <w:rFonts w:ascii="仿宋_GB2312" w:hAnsi="宋体" w:eastAsia="仿宋_GB2312"/>
          <w:spacing w:val="0"/>
          <w:kern w:val="2"/>
          <w:sz w:val="28"/>
          <w:szCs w:val="28"/>
        </w:rPr>
      </w:pPr>
      <w:r>
        <w:rPr>
          <w:rFonts w:hint="eastAsia" w:ascii="仿宋_GB2312" w:hAnsi="宋体" w:eastAsia="仿宋_GB2312"/>
          <w:spacing w:val="0"/>
          <w:kern w:val="2"/>
          <w:sz w:val="28"/>
          <w:szCs w:val="28"/>
        </w:rPr>
        <w:t>与国外集约化机械一体化农业不同，我国的果蔬农业一直处于以家庭为单位的经营模式，种植地域分散，贮藏流通等物流环节相互分离，不同类型的物流资源服务主体之间只为了各自环节的管理和运营需要来获取和管理各自的资源数据，这使得现有的数据无论从内容和质量上都无法适用于果蔬农产品乡村物流的发展，同时通过前期的调研我们发现乡村物流发展相较于城市物流而言仍相对落后，物流资源虽然种类繁多，但受乡村地域影响资源分散且相对闭塞，物流资源服务主体在服务能力、管理水平上仍存在巨大差异，许多服务主体信息化程度低，甚至一些属于个人出租的冷库、冷藏车仍单纯依靠纸笔的数据记录方式，通过相关的标准文献查阅发现我国冷链仓储和运输的相关物流数据管理标准不够统一且缺乏针对于乡村物流资源的规范性文件，上述问题导致了果蔬类农产品物流的质量和时效性的丢失，这也是我国果蔬类农产品的货损率高达25%-30%的重要原因，为了更好的实现乡村物流资源管理，实现数据驱动的“最先一公里”决策，对物流资源的数据进行规范性要求迫在眉睫。</w:t>
      </w:r>
      <w:r>
        <w:rPr>
          <w:rFonts w:hint="eastAsia" w:ascii="仿宋_GB2312" w:hAnsi="宋体" w:eastAsia="仿宋_GB2312"/>
          <w:spacing w:val="0"/>
          <w:kern w:val="2"/>
          <w:sz w:val="28"/>
          <w:szCs w:val="28"/>
        </w:rPr>
        <w:cr/>
      </w:r>
      <w:r>
        <w:rPr>
          <w:rFonts w:ascii="仿宋_GB2312" w:hAnsi="宋体" w:eastAsia="仿宋_GB2312"/>
          <w:spacing w:val="0"/>
          <w:kern w:val="2"/>
          <w:sz w:val="28"/>
          <w:szCs w:val="28"/>
        </w:rPr>
        <w:t xml:space="preserve">   </w:t>
      </w:r>
      <w:r>
        <w:rPr>
          <w:rFonts w:hint="eastAsia" w:ascii="仿宋_GB2312" w:hAnsi="宋体" w:eastAsia="仿宋_GB2312"/>
          <w:spacing w:val="0"/>
          <w:kern w:val="2"/>
          <w:sz w:val="28"/>
          <w:szCs w:val="28"/>
        </w:rPr>
        <w:t>为了促进数字乡村的建设，形成乡村物流资源信息化平台，关键的一步便是要构建一套完整的数据标准体系来开展数据标准管理的工作，果蔬类农产品乡村物流涉及到的主体很多，传统的数据很难进行共享使用，因此需要在果蔬乡村物流领域定义一套关于数据的规范，来消除数据业务的歧义。</w:t>
      </w:r>
      <w:r>
        <w:rPr>
          <w:rFonts w:hint="eastAsia" w:ascii="仿宋_GB2312" w:hAnsi="宋体" w:eastAsia="仿宋_GB2312"/>
          <w:sz w:val="28"/>
          <w:szCs w:val="28"/>
        </w:rPr>
        <w:t>随着乡村物流信息平台的建设我们发现由于国内尚未形成一套统一的数据交换标准规范，各个环节物流资源的提供方所使用数据的格式和编码规则都存在明显差异，这就导致各信息主体进行信息的共享和数据的交换的效率低下，所以统一数据标准，规范数据要求是现实的需要，面对果蔬类农产品各环节信息壁垒，急需一套适用于果蔬类农产品乡村物流资源数据要求，这也是本标准制定的实际意义。</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三、主要工作过程</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（一）启动阶段</w:t>
      </w:r>
    </w:p>
    <w:p>
      <w:pPr>
        <w:pStyle w:val="17"/>
        <w:ind w:right="-105" w:firstLine="557"/>
        <w:rPr>
          <w:rFonts w:ascii="仿宋_GB2312" w:hAnsi="宋体" w:eastAsia="仿宋_GB2312"/>
          <w:sz w:val="28"/>
          <w:szCs w:val="28"/>
        </w:rPr>
      </w:pPr>
      <w:r>
        <w:rPr>
          <w:rFonts w:ascii="仿宋_GB2312" w:hAnsi="宋体" w:eastAsia="仿宋_GB2312"/>
          <w:spacing w:val="0"/>
          <w:kern w:val="2"/>
          <w:sz w:val="28"/>
          <w:szCs w:val="28"/>
        </w:rPr>
        <w:t>2021</w:t>
      </w:r>
      <w:r>
        <w:rPr>
          <w:rFonts w:hint="eastAsia" w:ascii="仿宋_GB2312" w:hAnsi="宋体" w:eastAsia="仿宋_GB2312"/>
          <w:spacing w:val="0"/>
          <w:kern w:val="2"/>
          <w:sz w:val="28"/>
          <w:szCs w:val="28"/>
        </w:rPr>
        <w:t>年</w:t>
      </w:r>
      <w:r>
        <w:rPr>
          <w:rFonts w:ascii="仿宋_GB2312" w:hAnsi="宋体" w:eastAsia="仿宋_GB2312"/>
          <w:spacing w:val="0"/>
          <w:kern w:val="2"/>
          <w:sz w:val="28"/>
          <w:szCs w:val="28"/>
        </w:rPr>
        <w:t>7</w:t>
      </w:r>
      <w:r>
        <w:rPr>
          <w:rFonts w:hint="eastAsia" w:ascii="仿宋_GB2312" w:hAnsi="宋体" w:eastAsia="仿宋_GB2312"/>
          <w:spacing w:val="0"/>
          <w:kern w:val="2"/>
          <w:sz w:val="28"/>
          <w:szCs w:val="28"/>
        </w:rPr>
        <w:t>月</w:t>
      </w:r>
      <w:r>
        <w:rPr>
          <w:rFonts w:ascii="仿宋_GB2312" w:hAnsi="宋体" w:eastAsia="仿宋_GB2312"/>
          <w:spacing w:val="0"/>
          <w:kern w:val="2"/>
          <w:sz w:val="28"/>
          <w:szCs w:val="28"/>
        </w:rPr>
        <w:t>21</w:t>
      </w:r>
      <w:r>
        <w:rPr>
          <w:rFonts w:hint="eastAsia" w:ascii="仿宋_GB2312" w:hAnsi="宋体" w:eastAsia="仿宋_GB2312"/>
          <w:spacing w:val="0"/>
          <w:kern w:val="2"/>
          <w:sz w:val="28"/>
          <w:szCs w:val="28"/>
        </w:rPr>
        <w:t>日，</w:t>
      </w:r>
      <w:bookmarkStart w:id="1" w:name="_Hlk529453920"/>
      <w:r>
        <w:rPr>
          <w:rFonts w:hint="eastAsia" w:ascii="仿宋_GB2312" w:hAnsi="宋体" w:eastAsia="仿宋_GB2312"/>
          <w:spacing w:val="0"/>
          <w:kern w:val="2"/>
          <w:sz w:val="28"/>
          <w:szCs w:val="28"/>
        </w:rPr>
        <w:t>《果蔬类农产品乡村物流资源数据要求》</w:t>
      </w:r>
      <w:bookmarkEnd w:id="1"/>
      <w:r>
        <w:rPr>
          <w:rFonts w:hint="eastAsia" w:ascii="仿宋_GB2312" w:hAnsi="宋体" w:eastAsia="仿宋_GB2312"/>
          <w:spacing w:val="0"/>
          <w:kern w:val="2"/>
          <w:sz w:val="28"/>
          <w:szCs w:val="28"/>
        </w:rPr>
        <w:t>团体标准启动会在北京举行，会议确立了起草单位和工作分工（见表</w:t>
      </w:r>
      <w:r>
        <w:rPr>
          <w:rFonts w:ascii="仿宋_GB2312" w:hAnsi="宋体" w:eastAsia="仿宋_GB2312"/>
          <w:spacing w:val="0"/>
          <w:kern w:val="2"/>
          <w:sz w:val="28"/>
          <w:szCs w:val="28"/>
        </w:rPr>
        <w:t>1</w:t>
      </w:r>
      <w:r>
        <w:rPr>
          <w:rFonts w:hint="eastAsia" w:ascii="仿宋_GB2312" w:hAnsi="宋体" w:eastAsia="仿宋_GB2312"/>
          <w:spacing w:val="0"/>
          <w:kern w:val="2"/>
          <w:sz w:val="28"/>
          <w:szCs w:val="28"/>
        </w:rPr>
        <w:t>），并对标准范围和框架结构进行了充分讨论，形成了草案。</w:t>
      </w:r>
    </w:p>
    <w:p>
      <w:pPr>
        <w:widowControl/>
        <w:adjustRightInd w:val="0"/>
        <w:snapToGrid w:val="0"/>
        <w:spacing w:before="156" w:beforeLines="50" w:after="156" w:afterLines="50"/>
        <w:jc w:val="center"/>
        <w:rPr>
          <w:rFonts w:ascii="华文楷体" w:hAnsi="华文楷体" w:eastAsia="华文楷体"/>
          <w:szCs w:val="21"/>
        </w:rPr>
      </w:pPr>
      <w:r>
        <w:rPr>
          <w:rFonts w:hint="eastAsia" w:ascii="华文楷体" w:hAnsi="华文楷体" w:eastAsia="华文楷体"/>
          <w:szCs w:val="21"/>
        </w:rPr>
        <w:t>表1 起草单位主要工作分工</w:t>
      </w: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675"/>
        <w:gridCol w:w="3828"/>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序号</w:t>
            </w:r>
          </w:p>
        </w:tc>
        <w:tc>
          <w:tcPr>
            <w:tcW w:w="3828" w:type="dxa"/>
            <w:shd w:val="clear" w:color="000000" w:fill="auto"/>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单位</w:t>
            </w:r>
          </w:p>
        </w:tc>
        <w:tc>
          <w:tcPr>
            <w:tcW w:w="4408" w:type="dxa"/>
            <w:shd w:val="clear" w:color="000000" w:fill="auto"/>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中国物流与采购联合会</w:t>
            </w:r>
            <w:r>
              <w:rPr>
                <w:rFonts w:hint="eastAsia" w:ascii="华文楷体" w:hAnsi="华文楷体" w:eastAsia="华文楷体"/>
                <w:szCs w:val="21"/>
                <w:lang w:val="en-US" w:eastAsia="zh-CN"/>
              </w:rPr>
              <w:t>食材</w:t>
            </w:r>
            <w:r>
              <w:rPr>
                <w:rFonts w:hint="eastAsia" w:ascii="华文楷体" w:hAnsi="华文楷体" w:eastAsia="华文楷体"/>
                <w:szCs w:val="21"/>
              </w:rPr>
              <w:t>供应链分会</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标准总牵头单位，负责标准的技术研究路线的设计、标准总体框架设计，负责标准的汇总、初审，提出标准编写的建议，负责标准的质量把关。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cs="微软雅黑"/>
                <w:szCs w:val="21"/>
              </w:rPr>
            </w:pPr>
            <w:r>
              <w:rPr>
                <w:rFonts w:hint="eastAsia" w:ascii="华文楷体" w:hAnsi="华文楷体" w:eastAsia="华文楷体" w:cs="微软雅黑"/>
                <w:szCs w:val="21"/>
              </w:rPr>
              <w:t>北京京东尚科信息技术有限公司</w:t>
            </w:r>
          </w:p>
        </w:tc>
        <w:tc>
          <w:tcPr>
            <w:tcW w:w="4408" w:type="dxa"/>
            <w:shd w:val="clear" w:color="000000" w:fill="auto"/>
            <w:vAlign w:val="center"/>
          </w:tcPr>
          <w:p>
            <w:pPr>
              <w:widowControl/>
              <w:adjustRightInd w:val="0"/>
              <w:snapToGrid w:val="0"/>
              <w:jc w:val="left"/>
              <w:rPr>
                <w:rFonts w:ascii="华文楷体" w:hAnsi="华文楷体" w:eastAsia="华文楷体"/>
                <w:szCs w:val="21"/>
              </w:rPr>
            </w:pPr>
            <w:r>
              <w:rPr>
                <w:rFonts w:hint="eastAsia" w:ascii="华文楷体" w:hAnsi="华文楷体" w:eastAsia="华文楷体"/>
                <w:szCs w:val="21"/>
              </w:rPr>
              <w:t>标准主编写，负责标准内容的完善</w:t>
            </w:r>
          </w:p>
          <w:p>
            <w:pPr>
              <w:widowControl/>
              <w:adjustRightInd w:val="0"/>
              <w:snapToGrid w:val="0"/>
              <w:jc w:val="left"/>
              <w:rPr>
                <w:rFonts w:ascii="华文楷体" w:hAnsi="华文楷体" w:eastAsia="华文楷体"/>
                <w:szCs w:val="21"/>
              </w:rPr>
            </w:pPr>
            <w:r>
              <w:rPr>
                <w:rFonts w:hint="eastAsia" w:ascii="华文楷体" w:hAnsi="华文楷体" w:eastAsia="华文楷体"/>
                <w:szCs w:val="21"/>
              </w:rPr>
              <w:t>组长：</w:t>
            </w:r>
            <w:r>
              <w:rPr>
                <w:rFonts w:hint="eastAsia" w:ascii="华文楷体" w:hAnsi="华文楷体" w:eastAsia="华文楷体" w:cs="微软雅黑"/>
                <w:szCs w:val="21"/>
              </w:rPr>
              <w:t>王华、王玉英</w:t>
            </w:r>
            <w:r>
              <w:rPr>
                <w:rFonts w:hint="eastAsia" w:ascii="华文楷体" w:hAnsi="华文楷体" w:eastAsia="华文楷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cs="微软雅黑"/>
                <w:szCs w:val="21"/>
              </w:rPr>
            </w:pPr>
            <w:r>
              <w:rPr>
                <w:rFonts w:hint="eastAsia" w:ascii="华文楷体" w:hAnsi="华文楷体" w:eastAsia="华文楷体" w:cs="微软雅黑"/>
                <w:szCs w:val="21"/>
              </w:rPr>
              <w:t>北京京东乾石科技有限公司</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参与小组的研讨、提供企业相关的数据，参加标准的论证，提出合理化建议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cs="微软雅黑"/>
                <w:szCs w:val="21"/>
              </w:rPr>
            </w:pPr>
            <w:r>
              <w:rPr>
                <w:rFonts w:hint="eastAsia" w:ascii="华文楷体" w:hAnsi="华文楷体" w:eastAsia="华文楷体" w:cs="微软雅黑"/>
                <w:szCs w:val="21"/>
              </w:rPr>
              <w:t>北京京邦达贸易有限公司</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参与小组的研讨、提供相关的数据，参加标准的论证，提出合理化建议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cs="微软雅黑"/>
                <w:szCs w:val="21"/>
              </w:rPr>
            </w:pPr>
            <w:r>
              <w:rPr>
                <w:rFonts w:hint="eastAsia" w:ascii="华文楷体" w:hAnsi="华文楷体" w:eastAsia="华文楷体" w:cs="微软雅黑"/>
                <w:szCs w:val="21"/>
              </w:rPr>
              <w:t>大连理工大学</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cs="微软雅黑"/>
                <w:szCs w:val="21"/>
              </w:rPr>
            </w:pPr>
            <w:r>
              <w:rPr>
                <w:rFonts w:hint="eastAsia" w:ascii="华文楷体" w:hAnsi="华文楷体" w:eastAsia="华文楷体" w:cs="微软雅黑"/>
                <w:szCs w:val="21"/>
              </w:rPr>
              <w:t>西北农林科技大学</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cs="微软雅黑"/>
                <w:szCs w:val="21"/>
              </w:rPr>
            </w:pPr>
          </w:p>
        </w:tc>
        <w:tc>
          <w:tcPr>
            <w:tcW w:w="3828" w:type="dxa"/>
            <w:shd w:val="clear" w:color="000000" w:fill="auto"/>
            <w:vAlign w:val="center"/>
          </w:tcPr>
          <w:p>
            <w:pPr>
              <w:widowControl/>
              <w:adjustRightInd w:val="0"/>
              <w:snapToGrid w:val="0"/>
              <w:rPr>
                <w:rFonts w:ascii="华文楷体" w:hAnsi="华文楷体" w:eastAsia="华文楷体" w:cs="微软雅黑"/>
                <w:szCs w:val="21"/>
              </w:rPr>
            </w:pPr>
            <w:r>
              <w:rPr>
                <w:rFonts w:hint="eastAsia" w:ascii="华文楷体" w:hAnsi="华文楷体" w:eastAsia="华文楷体" w:cs="微软雅黑"/>
                <w:szCs w:val="21"/>
              </w:rPr>
              <w:t>北京市农林科学院智能装备技术研究中心</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参与小组的研讨、提供相关的数据，参加标准的论证，提出合理化建议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cs="微软雅黑"/>
                <w:szCs w:val="21"/>
              </w:rPr>
            </w:pPr>
            <w:r>
              <w:rPr>
                <w:rFonts w:hint="eastAsia" w:ascii="华文楷体" w:hAnsi="华文楷体" w:eastAsia="华文楷体" w:cs="微软雅黑"/>
                <w:szCs w:val="21"/>
              </w:rPr>
              <w:t>国家农产品现代物流工程技术研究中心</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参与小组的研讨、提供相关的数据，参加标准的论证，提出合理化建议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cs="微软雅黑"/>
                <w:szCs w:val="21"/>
              </w:rPr>
            </w:pPr>
            <w:r>
              <w:rPr>
                <w:rFonts w:hint="eastAsia" w:ascii="华文楷体" w:hAnsi="华文楷体" w:eastAsia="华文楷体" w:cs="微软雅黑"/>
                <w:szCs w:val="21"/>
              </w:rPr>
              <w:t>北京三快科技有限公司</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参与小组的研讨、提供相关的数据，参加标准的论证，提出合理化建议</w:t>
            </w:r>
          </w:p>
        </w:tc>
      </w:tr>
    </w:tbl>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（二）起草阶段</w:t>
      </w:r>
    </w:p>
    <w:p>
      <w:pPr>
        <w:pStyle w:val="17"/>
        <w:ind w:right="-105" w:firstLine="557"/>
        <w:rPr>
          <w:rFonts w:ascii="仿宋_GB2312" w:hAnsi="宋体" w:eastAsia="仿宋_GB2312"/>
          <w:spacing w:val="0"/>
          <w:kern w:val="2"/>
          <w:sz w:val="28"/>
          <w:szCs w:val="28"/>
        </w:rPr>
      </w:pPr>
      <w:r>
        <w:rPr>
          <w:rFonts w:ascii="仿宋_GB2312" w:hAnsi="宋体" w:eastAsia="仿宋_GB2312"/>
          <w:spacing w:val="0"/>
          <w:kern w:val="2"/>
          <w:sz w:val="28"/>
          <w:szCs w:val="28"/>
        </w:rPr>
        <w:t>2021</w:t>
      </w:r>
      <w:r>
        <w:rPr>
          <w:rFonts w:hint="eastAsia" w:ascii="仿宋_GB2312" w:hAnsi="宋体" w:eastAsia="仿宋_GB2312"/>
          <w:spacing w:val="0"/>
          <w:kern w:val="2"/>
          <w:sz w:val="28"/>
          <w:szCs w:val="28"/>
        </w:rPr>
        <w:t>年9月</w:t>
      </w:r>
      <w:r>
        <w:rPr>
          <w:rFonts w:ascii="仿宋_GB2312" w:hAnsi="宋体" w:eastAsia="仿宋_GB2312"/>
          <w:spacing w:val="0"/>
          <w:kern w:val="2"/>
          <w:sz w:val="28"/>
          <w:szCs w:val="28"/>
        </w:rPr>
        <w:t>28</w:t>
      </w:r>
      <w:r>
        <w:rPr>
          <w:rFonts w:hint="eastAsia" w:ascii="仿宋_GB2312" w:hAnsi="宋体" w:eastAsia="仿宋_GB2312"/>
          <w:spacing w:val="0"/>
          <w:kern w:val="2"/>
          <w:sz w:val="28"/>
          <w:szCs w:val="28"/>
        </w:rPr>
        <w:t>日，起草组在北京组织召开第一次标准研讨会，北京京东尚科信息技术有限公司、中国物流与采购联合会农产品供应链分会、北京京东乾石科技有限公司、大连理工大学、西北农林科技大学、北京市农林科学院智能装备技术研究中心等起草单位的专家代表参加了会议。会议对标准的范围及各章节内容进行了详细讨论。参会企业结合自身实际情况，对标准内容提出实质性的修改意见。此次会议形成了工作组讨论稿（</w:t>
      </w:r>
      <w:r>
        <w:rPr>
          <w:rFonts w:hint="eastAsia" w:ascii="仿宋_GB2312" w:hAnsi="宋体" w:eastAsia="仿宋_GB2312"/>
          <w:spacing w:val="0"/>
          <w:kern w:val="2"/>
          <w:sz w:val="28"/>
          <w:szCs w:val="28"/>
          <w:lang w:val="en-US" w:eastAsia="zh-CN"/>
        </w:rPr>
        <w:t>一</w:t>
      </w:r>
      <w:r>
        <w:rPr>
          <w:rFonts w:hint="eastAsia" w:ascii="仿宋_GB2312" w:hAnsi="宋体" w:eastAsia="仿宋_GB2312"/>
          <w:spacing w:val="0"/>
          <w:kern w:val="2"/>
          <w:sz w:val="28"/>
          <w:szCs w:val="28"/>
        </w:rPr>
        <w:t>稿）。</w:t>
      </w:r>
    </w:p>
    <w:p>
      <w:pPr>
        <w:pStyle w:val="17"/>
        <w:ind w:right="-105" w:firstLine="557"/>
        <w:rPr>
          <w:rFonts w:ascii="仿宋_GB2312" w:hAnsi="宋体" w:eastAsia="仿宋_GB2312"/>
          <w:spacing w:val="0"/>
          <w:kern w:val="2"/>
          <w:sz w:val="28"/>
          <w:szCs w:val="28"/>
        </w:rPr>
      </w:pPr>
      <w:r>
        <w:rPr>
          <w:rFonts w:hint="eastAsia" w:ascii="仿宋_GB2312" w:hAnsi="宋体" w:eastAsia="仿宋_GB2312"/>
          <w:spacing w:val="0"/>
          <w:kern w:val="2"/>
          <w:sz w:val="28"/>
          <w:szCs w:val="28"/>
        </w:rPr>
        <w:t>2</w:t>
      </w:r>
      <w:r>
        <w:rPr>
          <w:rFonts w:ascii="仿宋_GB2312" w:hAnsi="宋体" w:eastAsia="仿宋_GB2312"/>
          <w:spacing w:val="0"/>
          <w:kern w:val="2"/>
          <w:sz w:val="28"/>
          <w:szCs w:val="28"/>
        </w:rPr>
        <w:t>021</w:t>
      </w:r>
      <w:r>
        <w:rPr>
          <w:rFonts w:hint="eastAsia" w:ascii="仿宋_GB2312" w:hAnsi="宋体" w:eastAsia="仿宋_GB2312"/>
          <w:spacing w:val="0"/>
          <w:kern w:val="2"/>
          <w:sz w:val="28"/>
          <w:szCs w:val="28"/>
        </w:rPr>
        <w:t>年1</w:t>
      </w:r>
      <w:r>
        <w:rPr>
          <w:rFonts w:ascii="仿宋_GB2312" w:hAnsi="宋体" w:eastAsia="仿宋_GB2312"/>
          <w:spacing w:val="0"/>
          <w:kern w:val="2"/>
          <w:sz w:val="28"/>
          <w:szCs w:val="28"/>
        </w:rPr>
        <w:t>0</w:t>
      </w:r>
      <w:r>
        <w:rPr>
          <w:rFonts w:hint="eastAsia" w:ascii="仿宋_GB2312" w:hAnsi="宋体" w:eastAsia="仿宋_GB2312"/>
          <w:spacing w:val="0"/>
          <w:kern w:val="2"/>
          <w:sz w:val="28"/>
          <w:szCs w:val="28"/>
        </w:rPr>
        <w:t>月9日，受疫情影响起草组于线上召开第</w:t>
      </w:r>
      <w:r>
        <w:rPr>
          <w:rFonts w:hint="eastAsia" w:ascii="仿宋_GB2312" w:hAnsi="宋体" w:eastAsia="仿宋_GB2312"/>
          <w:spacing w:val="0"/>
          <w:kern w:val="2"/>
          <w:sz w:val="28"/>
          <w:szCs w:val="28"/>
          <w:lang w:val="en-US" w:eastAsia="zh-CN"/>
        </w:rPr>
        <w:t>二</w:t>
      </w:r>
      <w:r>
        <w:rPr>
          <w:rFonts w:hint="eastAsia" w:ascii="仿宋_GB2312" w:hAnsi="宋体" w:eastAsia="仿宋_GB2312"/>
          <w:spacing w:val="0"/>
          <w:kern w:val="2"/>
          <w:sz w:val="28"/>
          <w:szCs w:val="28"/>
        </w:rPr>
        <w:t>次研讨会，本次会议对乡村物流资源数据要求应包括的物流环节、各环节应包括的数据内容、数据元格式等进行了讨论，在倾听企业对标准范围、规范性、语言表述等方面建议的基础上，形成了工作组讨论稿（</w:t>
      </w:r>
      <w:r>
        <w:rPr>
          <w:rFonts w:hint="eastAsia" w:ascii="仿宋_GB2312" w:hAnsi="宋体" w:eastAsia="仿宋_GB2312"/>
          <w:spacing w:val="0"/>
          <w:kern w:val="2"/>
          <w:sz w:val="28"/>
          <w:szCs w:val="28"/>
          <w:lang w:val="en-US" w:eastAsia="zh-CN"/>
        </w:rPr>
        <w:t>二</w:t>
      </w:r>
      <w:r>
        <w:rPr>
          <w:rFonts w:hint="eastAsia" w:ascii="仿宋_GB2312" w:hAnsi="宋体" w:eastAsia="仿宋_GB2312"/>
          <w:spacing w:val="0"/>
          <w:kern w:val="2"/>
          <w:sz w:val="28"/>
          <w:szCs w:val="28"/>
        </w:rPr>
        <w:t>稿）。</w:t>
      </w:r>
    </w:p>
    <w:p>
      <w:pPr>
        <w:pStyle w:val="17"/>
        <w:ind w:right="-105" w:firstLine="557"/>
        <w:rPr>
          <w:rFonts w:ascii="仿宋_GB2312" w:hAnsi="宋体" w:eastAsia="仿宋_GB2312"/>
          <w:spacing w:val="0"/>
          <w:kern w:val="2"/>
          <w:sz w:val="28"/>
          <w:szCs w:val="28"/>
        </w:rPr>
      </w:pPr>
      <w:r>
        <w:rPr>
          <w:rFonts w:hint="eastAsia" w:ascii="仿宋_GB2312" w:hAnsi="宋体" w:eastAsia="仿宋_GB2312"/>
          <w:spacing w:val="0"/>
          <w:kern w:val="2"/>
          <w:sz w:val="28"/>
          <w:szCs w:val="28"/>
        </w:rPr>
        <w:t>2</w:t>
      </w:r>
      <w:r>
        <w:rPr>
          <w:rFonts w:ascii="仿宋_GB2312" w:hAnsi="宋体" w:eastAsia="仿宋_GB2312"/>
          <w:spacing w:val="0"/>
          <w:kern w:val="2"/>
          <w:sz w:val="28"/>
          <w:szCs w:val="28"/>
        </w:rPr>
        <w:t>021</w:t>
      </w:r>
      <w:r>
        <w:rPr>
          <w:rFonts w:hint="eastAsia" w:ascii="仿宋_GB2312" w:hAnsi="宋体" w:eastAsia="仿宋_GB2312"/>
          <w:spacing w:val="0"/>
          <w:kern w:val="2"/>
          <w:sz w:val="28"/>
          <w:szCs w:val="28"/>
        </w:rPr>
        <w:t>年1</w:t>
      </w:r>
      <w:r>
        <w:rPr>
          <w:rFonts w:ascii="仿宋_GB2312" w:hAnsi="宋体" w:eastAsia="仿宋_GB2312"/>
          <w:spacing w:val="0"/>
          <w:kern w:val="2"/>
          <w:sz w:val="28"/>
          <w:szCs w:val="28"/>
        </w:rPr>
        <w:t>1</w:t>
      </w:r>
      <w:r>
        <w:rPr>
          <w:rFonts w:hint="eastAsia" w:ascii="仿宋_GB2312" w:hAnsi="宋体" w:eastAsia="仿宋_GB2312"/>
          <w:spacing w:val="0"/>
          <w:kern w:val="2"/>
          <w:sz w:val="28"/>
          <w:szCs w:val="28"/>
        </w:rPr>
        <w:t>月5日，起草组于线上召开第</w:t>
      </w:r>
      <w:r>
        <w:rPr>
          <w:rFonts w:hint="eastAsia" w:ascii="仿宋_GB2312" w:hAnsi="宋体" w:eastAsia="仿宋_GB2312"/>
          <w:spacing w:val="0"/>
          <w:kern w:val="2"/>
          <w:sz w:val="28"/>
          <w:szCs w:val="28"/>
          <w:lang w:val="en-US" w:eastAsia="zh-CN"/>
        </w:rPr>
        <w:t>三</w:t>
      </w:r>
      <w:r>
        <w:rPr>
          <w:rFonts w:hint="eastAsia" w:ascii="仿宋_GB2312" w:hAnsi="宋体" w:eastAsia="仿宋_GB2312"/>
          <w:spacing w:val="0"/>
          <w:kern w:val="2"/>
          <w:sz w:val="28"/>
          <w:szCs w:val="28"/>
        </w:rPr>
        <w:t>次研讨会，本次会议对标准的范围、数据元基本要求、数据元类别等均进行了逐一讨论、形成了工作组讨论稿（</w:t>
      </w:r>
      <w:r>
        <w:rPr>
          <w:rFonts w:hint="eastAsia" w:ascii="仿宋_GB2312" w:hAnsi="宋体" w:eastAsia="仿宋_GB2312"/>
          <w:spacing w:val="0"/>
          <w:kern w:val="2"/>
          <w:sz w:val="28"/>
          <w:szCs w:val="28"/>
          <w:lang w:val="en-US" w:eastAsia="zh-CN"/>
        </w:rPr>
        <w:t>三</w:t>
      </w:r>
      <w:r>
        <w:rPr>
          <w:rFonts w:hint="eastAsia" w:ascii="仿宋_GB2312" w:hAnsi="宋体" w:eastAsia="仿宋_GB2312"/>
          <w:spacing w:val="0"/>
          <w:kern w:val="2"/>
          <w:sz w:val="28"/>
          <w:szCs w:val="28"/>
        </w:rPr>
        <w:t>稿）。</w:t>
      </w:r>
    </w:p>
    <w:p>
      <w:pPr>
        <w:pStyle w:val="17"/>
        <w:ind w:right="-105" w:firstLine="557"/>
      </w:pPr>
      <w:r>
        <w:rPr>
          <w:rFonts w:hint="eastAsia" w:ascii="仿宋_GB2312" w:hAnsi="宋体" w:eastAsia="仿宋_GB2312"/>
          <w:spacing w:val="0"/>
          <w:kern w:val="2"/>
          <w:sz w:val="28"/>
          <w:szCs w:val="28"/>
        </w:rPr>
        <w:t>2</w:t>
      </w:r>
      <w:r>
        <w:rPr>
          <w:rFonts w:ascii="仿宋_GB2312" w:hAnsi="宋体" w:eastAsia="仿宋_GB2312"/>
          <w:spacing w:val="0"/>
          <w:kern w:val="2"/>
          <w:sz w:val="28"/>
          <w:szCs w:val="28"/>
        </w:rPr>
        <w:t>021</w:t>
      </w:r>
      <w:r>
        <w:rPr>
          <w:rFonts w:hint="eastAsia" w:ascii="仿宋_GB2312" w:hAnsi="宋体" w:eastAsia="仿宋_GB2312"/>
          <w:spacing w:val="0"/>
          <w:kern w:val="2"/>
          <w:sz w:val="28"/>
          <w:szCs w:val="28"/>
        </w:rPr>
        <w:t>年12月2</w:t>
      </w:r>
      <w:r>
        <w:rPr>
          <w:rFonts w:ascii="仿宋_GB2312" w:hAnsi="宋体" w:eastAsia="仿宋_GB2312"/>
          <w:spacing w:val="0"/>
          <w:kern w:val="2"/>
          <w:sz w:val="28"/>
          <w:szCs w:val="28"/>
        </w:rPr>
        <w:t>5</w:t>
      </w:r>
      <w:r>
        <w:rPr>
          <w:rFonts w:hint="eastAsia" w:ascii="仿宋_GB2312" w:hAnsi="宋体" w:eastAsia="仿宋_GB2312"/>
          <w:spacing w:val="0"/>
          <w:kern w:val="2"/>
          <w:sz w:val="28"/>
          <w:szCs w:val="28"/>
        </w:rPr>
        <w:t>日，起草组在对标准研讨过程中收到的反馈意见和建议进行全面汇总梳理和研究讨论后，形成了标准征求意见稿</w:t>
      </w:r>
      <w:r>
        <w:rPr>
          <w:rFonts w:hint="eastAsia" w:ascii="仿宋_GB2312" w:hAnsi="宋体" w:eastAsia="仿宋_GB2312"/>
          <w:spacing w:val="0"/>
          <w:kern w:val="2"/>
          <w:sz w:val="28"/>
          <w:szCs w:val="28"/>
          <w:lang w:eastAsia="zh-CN"/>
        </w:rPr>
        <w:t>（</w:t>
      </w:r>
      <w:r>
        <w:rPr>
          <w:rFonts w:hint="eastAsia" w:ascii="仿宋_GB2312" w:hAnsi="宋体" w:eastAsia="仿宋_GB2312"/>
          <w:spacing w:val="0"/>
          <w:kern w:val="2"/>
          <w:sz w:val="28"/>
          <w:szCs w:val="28"/>
          <w:lang w:val="en-US" w:eastAsia="zh-CN"/>
        </w:rPr>
        <w:t>四稿）</w:t>
      </w:r>
      <w:r>
        <w:rPr>
          <w:rFonts w:hint="eastAsia" w:ascii="仿宋_GB2312" w:hAnsi="宋体" w:eastAsia="仿宋_GB2312"/>
          <w:spacing w:val="0"/>
          <w:kern w:val="2"/>
          <w:sz w:val="28"/>
          <w:szCs w:val="28"/>
        </w:rPr>
        <w:t>及其编制说明。</w:t>
      </w:r>
    </w:p>
    <w:p>
      <w:pPr>
        <w:pStyle w:val="13"/>
        <w:spacing w:line="360" w:lineRule="auto"/>
        <w:ind w:firstLine="560"/>
        <w:rPr>
          <w:rFonts w:ascii="仿宋_GB2312" w:hAnsi="宋体" w:eastAsia="仿宋_GB2312"/>
          <w:b/>
          <w:sz w:val="28"/>
          <w:szCs w:val="28"/>
        </w:rPr>
      </w:pPr>
      <w:r>
        <w:rPr>
          <w:rFonts w:hint="eastAsia" w:ascii="仿宋_GB2312" w:hAnsi="宋体" w:eastAsia="仿宋_GB2312"/>
          <w:b/>
          <w:sz w:val="28"/>
          <w:szCs w:val="28"/>
        </w:rPr>
        <w:t>四、标准编制原则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（一）促进行业发展原则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通过查阅资料、召开研讨会和实地调研等方式，尽可能全面的了解我国果蔬类农产品乡村物流行业发展现状，了解行业对标准制定工作的诉求，使标准内容科学、合理、适用，达到规范果蔬类农产品乡村物流的全过程产生的数据，促进行业高速发展的目的。</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（二）服务企业原则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充分听取企业意见，了解参与信息化平台或信息系统的相关企业在平台或系统的使用过程中可能遇到的因数据标准不规范引发的问题，使标准内容尽量反映企业需求，提升企业的工作效率，使相关信息化平台或信息系统能最大化地为企业服务。</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（三）标准实用性原则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对果蔬类农产品乡村物流的数据要求应具有实用性，能充分规范化数据，保证信息化平台数据的收集和管理能标准化运行。</w:t>
      </w:r>
    </w:p>
    <w:p>
      <w:pPr>
        <w:pStyle w:val="13"/>
        <w:spacing w:line="360" w:lineRule="auto"/>
        <w:ind w:firstLine="560"/>
        <w:rPr>
          <w:rFonts w:ascii="仿宋_GB2312" w:hAnsi="宋体" w:eastAsia="仿宋_GB2312"/>
          <w:b/>
          <w:sz w:val="28"/>
          <w:szCs w:val="28"/>
        </w:rPr>
      </w:pPr>
      <w:r>
        <w:rPr>
          <w:rFonts w:hint="eastAsia" w:ascii="仿宋_GB2312" w:hAnsi="宋体" w:eastAsia="仿宋_GB2312"/>
          <w:b/>
          <w:sz w:val="28"/>
          <w:szCs w:val="28"/>
        </w:rPr>
        <w:t>五、标准主要内容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 xml:space="preserve"> </w:t>
      </w:r>
      <w:r>
        <w:rPr>
          <w:rFonts w:hint="eastAsia" w:ascii="仿宋_GB2312" w:hAnsi="宋体" w:eastAsia="仿宋_GB2312"/>
          <w:sz w:val="28"/>
          <w:szCs w:val="28"/>
        </w:rPr>
        <w:t>范围</w:t>
      </w:r>
    </w:p>
    <w:p>
      <w:pPr>
        <w:spacing w:line="360" w:lineRule="auto"/>
        <w:ind w:firstLine="560" w:firstLineChars="200"/>
        <w:rPr>
          <w:rFonts w:ascii="仿宋_GB2312" w:hAnsi="宋体" w:eastAsia="仿宋_GB2312"/>
          <w:sz w:val="28"/>
          <w:szCs w:val="28"/>
          <w:lang w:bidi="zh-TW"/>
        </w:rPr>
      </w:pPr>
      <w:bookmarkStart w:id="2" w:name="_Hlk90301380"/>
      <w:r>
        <w:rPr>
          <w:rFonts w:hint="eastAsia" w:ascii="仿宋_GB2312" w:hAnsi="宋体" w:eastAsia="仿宋_GB2312"/>
          <w:sz w:val="28"/>
          <w:szCs w:val="28"/>
          <w:lang w:bidi="zh-TW"/>
        </w:rPr>
        <w:t>本文件规定了果蔬类农产品乡村物流作业过程中各环节物流资源数据的数据元表示规范及要求。</w:t>
      </w:r>
    </w:p>
    <w:bookmarkEnd w:id="2"/>
    <w:p>
      <w:pPr>
        <w:spacing w:line="360" w:lineRule="auto"/>
        <w:ind w:firstLine="560" w:firstLineChars="200"/>
        <w:rPr>
          <w:rFonts w:ascii="仿宋_GB2312" w:hAnsi="宋体" w:eastAsia="仿宋_GB2312"/>
          <w:sz w:val="28"/>
          <w:szCs w:val="28"/>
          <w:lang w:bidi="zh-TW"/>
        </w:rPr>
      </w:pPr>
      <w:r>
        <w:rPr>
          <w:rFonts w:hint="eastAsia" w:ascii="仿宋_GB2312" w:hAnsi="宋体" w:eastAsia="仿宋_GB2312"/>
          <w:sz w:val="28"/>
          <w:szCs w:val="28"/>
          <w:lang w:bidi="zh-TW"/>
        </w:rPr>
        <w:t>本文件适用于乡村物流过程中果蔬类农产品运输、储存、包装、配送的数据储存与交换。</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 xml:space="preserve"> </w:t>
      </w:r>
      <w:r>
        <w:rPr>
          <w:rFonts w:hint="eastAsia" w:ascii="仿宋_GB2312" w:hAnsi="宋体" w:eastAsia="仿宋_GB2312"/>
          <w:sz w:val="28"/>
          <w:szCs w:val="28"/>
        </w:rPr>
        <w:t>规范性引用文件</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列出了本标准的规范性引用文件：</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GB/T 2260 中华人民共和国行政区划代码</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GB/T 7408 </w:t>
      </w:r>
      <w:r>
        <w:rPr>
          <w:rFonts w:hint="eastAsia" w:ascii="仿宋_GB2312" w:hAnsi="宋体" w:eastAsia="仿宋_GB2312"/>
          <w:sz w:val="28"/>
          <w:szCs w:val="28"/>
        </w:rPr>
        <w:t>数据元和交换格式</w:t>
      </w:r>
      <w:r>
        <w:rPr>
          <w:rFonts w:ascii="仿宋_GB2312" w:hAnsi="宋体" w:eastAsia="仿宋_GB2312"/>
          <w:sz w:val="28"/>
          <w:szCs w:val="28"/>
        </w:rPr>
        <w:t xml:space="preserve"> </w:t>
      </w:r>
      <w:r>
        <w:rPr>
          <w:rFonts w:hint="eastAsia" w:ascii="仿宋_GB2312" w:hAnsi="宋体" w:eastAsia="仿宋_GB2312"/>
          <w:sz w:val="28"/>
          <w:szCs w:val="28"/>
        </w:rPr>
        <w:t>信息交换</w:t>
      </w:r>
      <w:r>
        <w:rPr>
          <w:rFonts w:ascii="仿宋_GB2312" w:hAnsi="宋体" w:eastAsia="仿宋_GB2312"/>
          <w:sz w:val="28"/>
          <w:szCs w:val="28"/>
        </w:rPr>
        <w:t xml:space="preserve"> </w:t>
      </w:r>
      <w:r>
        <w:rPr>
          <w:rFonts w:hint="eastAsia" w:ascii="仿宋_GB2312" w:hAnsi="宋体" w:eastAsia="仿宋_GB2312"/>
          <w:sz w:val="28"/>
          <w:szCs w:val="28"/>
        </w:rPr>
        <w:t>日期和时间表示法</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GB/T 7635.1 全国主要产品分类与代码 第1部分:可运输产品</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GB/T 18391.1-2009 </w:t>
      </w:r>
      <w:r>
        <w:rPr>
          <w:rFonts w:hint="eastAsia" w:ascii="仿宋_GB2312" w:hAnsi="宋体" w:eastAsia="仿宋_GB2312"/>
          <w:sz w:val="28"/>
          <w:szCs w:val="28"/>
        </w:rPr>
        <w:t>信息技术</w:t>
      </w:r>
      <w:r>
        <w:rPr>
          <w:rFonts w:ascii="仿宋_GB2312" w:hAnsi="宋体" w:eastAsia="仿宋_GB2312"/>
          <w:sz w:val="28"/>
          <w:szCs w:val="28"/>
        </w:rPr>
        <w:t xml:space="preserve"> </w:t>
      </w:r>
      <w:r>
        <w:rPr>
          <w:rFonts w:hint="eastAsia" w:ascii="仿宋_GB2312" w:hAnsi="宋体" w:eastAsia="仿宋_GB2312"/>
          <w:sz w:val="28"/>
          <w:szCs w:val="28"/>
        </w:rPr>
        <w:t>元数据注册系统</w:t>
      </w:r>
      <w:r>
        <w:rPr>
          <w:rFonts w:ascii="仿宋_GB2312" w:hAnsi="宋体" w:eastAsia="仿宋_GB2312"/>
          <w:sz w:val="28"/>
          <w:szCs w:val="28"/>
        </w:rPr>
        <w:t xml:space="preserve">(MDR) </w:t>
      </w:r>
      <w:r>
        <w:rPr>
          <w:rFonts w:hint="eastAsia" w:ascii="仿宋_GB2312" w:hAnsi="宋体" w:eastAsia="仿宋_GB2312"/>
          <w:sz w:val="28"/>
          <w:szCs w:val="28"/>
        </w:rPr>
        <w:t>第一部分</w:t>
      </w:r>
      <w:r>
        <w:rPr>
          <w:rFonts w:ascii="仿宋_GB2312" w:hAnsi="宋体" w:eastAsia="仿宋_GB2312"/>
          <w:sz w:val="28"/>
          <w:szCs w:val="28"/>
        </w:rPr>
        <w:t>:</w:t>
      </w:r>
      <w:r>
        <w:rPr>
          <w:rFonts w:hint="eastAsia" w:ascii="仿宋_GB2312" w:hAnsi="宋体" w:eastAsia="仿宋_GB2312"/>
          <w:sz w:val="28"/>
          <w:szCs w:val="28"/>
        </w:rPr>
        <w:t>框架</w:t>
      </w:r>
    </w:p>
    <w:p>
      <w:pPr>
        <w:spacing w:line="360" w:lineRule="auto"/>
        <w:ind w:firstLine="560" w:firstLineChars="200"/>
        <w:rPr>
          <w:rFonts w:ascii="仿宋_GB2312" w:eastAsia="仿宋_GB2312"/>
          <w:sz w:val="28"/>
          <w:szCs w:val="28"/>
          <w:lang w:eastAsia="zh-TW"/>
        </w:rPr>
      </w:pPr>
      <w:bookmarkStart w:id="3" w:name="_Hlk90973554"/>
      <w:r>
        <w:rPr>
          <w:rFonts w:hint="eastAsia" w:ascii="仿宋_GB2312" w:hAnsi="宋体" w:eastAsia="仿宋_GB2312"/>
          <w:sz w:val="28"/>
          <w:szCs w:val="28"/>
        </w:rPr>
        <w:t>T/CFLP XXXX</w:t>
      </w:r>
      <w:r>
        <w:rPr>
          <w:rFonts w:ascii="仿宋_GB2312" w:hAnsi="宋体" w:eastAsia="仿宋_GB2312"/>
          <w:sz w:val="28"/>
          <w:szCs w:val="28"/>
        </w:rPr>
        <w:t xml:space="preserve"> </w:t>
      </w:r>
      <w:r>
        <w:rPr>
          <w:rFonts w:hint="eastAsia" w:ascii="仿宋_GB2312" w:hAnsi="宋体" w:eastAsia="仿宋_GB2312"/>
          <w:sz w:val="28"/>
          <w:szCs w:val="28"/>
        </w:rPr>
        <w:t>果蔬类农产品乡村物流信息平台管理要求</w:t>
      </w:r>
    </w:p>
    <w:bookmarkEnd w:id="3"/>
    <w:p>
      <w:pPr>
        <w:spacing w:line="360" w:lineRule="auto"/>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 xml:space="preserve"> </w:t>
      </w:r>
      <w:r>
        <w:rPr>
          <w:rFonts w:hint="eastAsia" w:ascii="仿宋_GB2312" w:hAnsi="宋体" w:eastAsia="仿宋_GB2312"/>
          <w:sz w:val="28"/>
          <w:szCs w:val="28"/>
        </w:rPr>
        <w:t>术语和定义</w:t>
      </w:r>
    </w:p>
    <w:p>
      <w:pPr>
        <w:pStyle w:val="15"/>
        <w:ind w:firstLine="560"/>
        <w:rPr>
          <w:rFonts w:ascii="仿宋_GB2312" w:hAnsi="宋体" w:eastAsia="仿宋_GB2312"/>
          <w:sz w:val="28"/>
          <w:szCs w:val="28"/>
        </w:rPr>
      </w:pPr>
      <w:r>
        <w:rPr>
          <w:rFonts w:hint="eastAsia" w:ascii="仿宋_GB2312" w:hAnsi="宋体" w:eastAsia="仿宋_GB2312"/>
          <w:sz w:val="28"/>
          <w:szCs w:val="28"/>
        </w:rPr>
        <w:t>引用了相关术语和定义。其中，</w:t>
      </w:r>
      <w:r>
        <w:rPr>
          <w:rFonts w:hint="eastAsia" w:ascii="仿宋_GB2312" w:hAnsi="宋体" w:eastAsia="仿宋_GB2312" w:cs="Times New Roman"/>
          <w:sz w:val="28"/>
          <w:szCs w:val="28"/>
          <w:lang w:eastAsia="zh-TW"/>
        </w:rPr>
        <w:t>物流资源数据（l</w:t>
      </w:r>
      <w:r>
        <w:rPr>
          <w:rFonts w:ascii="仿宋_GB2312" w:hAnsi="宋体" w:eastAsia="仿宋_GB2312" w:cs="Times New Roman"/>
          <w:sz w:val="28"/>
          <w:szCs w:val="28"/>
          <w:lang w:eastAsia="zh-TW"/>
        </w:rPr>
        <w:t>ogistics resources data</w:t>
      </w:r>
      <w:r>
        <w:rPr>
          <w:rFonts w:hint="eastAsia" w:ascii="仿宋_GB2312" w:hAnsi="宋体" w:eastAsia="仿宋_GB2312" w:cs="Times New Roman"/>
          <w:sz w:val="28"/>
          <w:szCs w:val="28"/>
          <w:lang w:eastAsia="zh-TW"/>
        </w:rPr>
        <w:t>）指在所有物流环节中涉及人、财、物、时间和信息等资源的数据。数</w:t>
      </w:r>
      <w:r>
        <w:rPr>
          <w:rFonts w:hint="eastAsia" w:ascii="仿宋_GB2312" w:hAnsi="宋体" w:eastAsia="仿宋_GB2312"/>
          <w:sz w:val="28"/>
          <w:szCs w:val="28"/>
        </w:rPr>
        <w:t>据元（</w:t>
      </w:r>
      <w:r>
        <w:rPr>
          <w:rFonts w:ascii="仿宋_GB2312" w:hAnsi="宋体" w:eastAsia="仿宋_GB2312"/>
          <w:sz w:val="28"/>
          <w:szCs w:val="28"/>
        </w:rPr>
        <w:t>data element</w:t>
      </w:r>
      <w:r>
        <w:rPr>
          <w:rFonts w:hint="eastAsia" w:ascii="仿宋_GB2312" w:hAnsi="宋体" w:eastAsia="仿宋_GB2312"/>
          <w:sz w:val="28"/>
          <w:szCs w:val="28"/>
        </w:rPr>
        <w:t>）指用由一组属性描述其定义、标识、表示和允许值的数据单元。需方（demander）指果蔬类农产品乡村物流活动所需资源和服务的使用方。供方（supplier）指果蔬类农产品乡村物流活动所需资源和服务的提供方。监管方（supervisor）指对果蔬类农产品乡村物流活动监督、管理的相关政府部门。</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数据元的概念参照</w:t>
      </w:r>
      <w:r>
        <w:rPr>
          <w:rFonts w:ascii="仿宋_GB2312" w:hAnsi="宋体" w:eastAsia="仿宋_GB2312"/>
          <w:sz w:val="28"/>
          <w:szCs w:val="28"/>
        </w:rPr>
        <w:t>GB/T 18391.1-2009</w:t>
      </w:r>
      <w:r>
        <w:rPr>
          <w:rFonts w:hint="eastAsia" w:ascii="仿宋_GB2312" w:hAnsi="宋体" w:eastAsia="仿宋_GB2312"/>
          <w:sz w:val="28"/>
          <w:szCs w:val="28"/>
        </w:rPr>
        <w:t>中的定义</w:t>
      </w:r>
      <w:r>
        <w:rPr>
          <w:rFonts w:ascii="仿宋_GB2312" w:hAnsi="宋体" w:eastAsia="仿宋_GB2312"/>
          <w:sz w:val="28"/>
          <w:szCs w:val="28"/>
        </w:rPr>
        <w:t>3.3.8</w:t>
      </w:r>
      <w:r>
        <w:rPr>
          <w:rFonts w:hint="eastAsia" w:ascii="仿宋_GB2312" w:hAnsi="宋体" w:eastAsia="仿宋_GB2312"/>
          <w:sz w:val="28"/>
          <w:szCs w:val="28"/>
        </w:rPr>
        <w:t>。</w:t>
      </w:r>
    </w:p>
    <w:p>
      <w:pPr>
        <w:spacing w:line="360" w:lineRule="auto"/>
        <w:ind w:firstLine="560" w:firstLineChars="200"/>
        <w:rPr>
          <w:rFonts w:ascii="仿宋_GB2312" w:hAnsi="宋体" w:eastAsia="仿宋_GB2312"/>
          <w:sz w:val="28"/>
          <w:szCs w:val="28"/>
        </w:rPr>
      </w:pPr>
      <w:bookmarkStart w:id="4" w:name="_Toc77005367"/>
      <w:r>
        <w:rPr>
          <w:rFonts w:ascii="仿宋_GB2312" w:hAnsi="宋体" w:eastAsia="仿宋_GB2312"/>
          <w:sz w:val="28"/>
          <w:szCs w:val="28"/>
        </w:rPr>
        <w:t>4</w:t>
      </w:r>
      <w:r>
        <w:rPr>
          <w:rFonts w:hint="eastAsia" w:ascii="仿宋_GB2312" w:hAnsi="宋体" w:eastAsia="仿宋_GB2312"/>
          <w:sz w:val="28"/>
          <w:szCs w:val="28"/>
        </w:rPr>
        <w:t xml:space="preserve"> 数据</w:t>
      </w:r>
      <w:bookmarkEnd w:id="4"/>
      <w:r>
        <w:rPr>
          <w:rFonts w:hint="eastAsia" w:ascii="仿宋_GB2312" w:hAnsi="宋体" w:eastAsia="仿宋_GB2312"/>
          <w:sz w:val="28"/>
          <w:szCs w:val="28"/>
        </w:rPr>
        <w:t>要求</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数据元为数据的基本单元，本文选择从数据元的角度出发来规范数据的要求。首先列出了对数据元的基本要求（4</w:t>
      </w:r>
      <w:r>
        <w:rPr>
          <w:rFonts w:ascii="仿宋_GB2312" w:hAnsi="宋体" w:eastAsia="仿宋_GB2312"/>
          <w:sz w:val="28"/>
          <w:szCs w:val="28"/>
        </w:rPr>
        <w:t>.1</w:t>
      </w:r>
      <w:r>
        <w:rPr>
          <w:rFonts w:hint="eastAsia" w:ascii="仿宋_GB2312" w:hAnsi="宋体" w:eastAsia="仿宋_GB2312"/>
          <w:sz w:val="28"/>
          <w:szCs w:val="28"/>
        </w:rPr>
        <w:t>），其中，</w:t>
      </w:r>
      <w:r>
        <w:rPr>
          <w:rFonts w:ascii="仿宋_GB2312" w:hAnsi="宋体" w:eastAsia="仿宋_GB2312"/>
          <w:sz w:val="28"/>
          <w:szCs w:val="28"/>
        </w:rPr>
        <w:t>4.1</w:t>
      </w: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结合附录A说明了数据元各组成部分：表示对象、特性和表示，以及各部分应满足的要求；为保证果蔬农产品乡村物流资源数据高效的利用，本文</w:t>
      </w:r>
      <w:r>
        <w:rPr>
          <w:rFonts w:ascii="仿宋_GB2312" w:hAnsi="宋体" w:eastAsia="仿宋_GB2312"/>
          <w:sz w:val="28"/>
          <w:szCs w:val="28"/>
        </w:rPr>
        <w:t>4.1.2</w:t>
      </w:r>
      <w:r>
        <w:rPr>
          <w:rFonts w:hint="eastAsia" w:ascii="仿宋_GB2312" w:hAnsi="宋体" w:eastAsia="仿宋_GB2312"/>
          <w:sz w:val="28"/>
          <w:szCs w:val="28"/>
        </w:rPr>
        <w:t>部分结合附录B和附录C指出了本文数据元的表示规范：从中文名称、英文名称、数据类型、数据格式、值域、约束、备注几个方面应满足的要求。其中数据元组成部分参考</w:t>
      </w:r>
      <w:bookmarkStart w:id="5" w:name="_Toc13741"/>
      <w:r>
        <w:rPr>
          <w:rFonts w:hint="eastAsia" w:ascii="仿宋_GB2312" w:hAnsi="宋体" w:eastAsia="仿宋_GB2312"/>
          <w:sz w:val="28"/>
          <w:szCs w:val="28"/>
        </w:rPr>
        <w:t>GB/T 19488.1-2004 电子政务数据元 第1部分:设计和管理规范</w:t>
      </w:r>
      <w:bookmarkEnd w:id="5"/>
      <w:r>
        <w:rPr>
          <w:rFonts w:hint="eastAsia" w:ascii="仿宋_GB2312" w:hAnsi="宋体" w:eastAsia="仿宋_GB2312"/>
          <w:sz w:val="28"/>
          <w:szCs w:val="28"/>
        </w:rPr>
        <w:t>。为使果蔬类农产品乡村物流资源涉及的数据元表示更为规范化，要求部分分别参照</w:t>
      </w:r>
      <w:r>
        <w:rPr>
          <w:rFonts w:ascii="仿宋_GB2312" w:hAnsi="宋体" w:eastAsia="仿宋_GB2312"/>
          <w:sz w:val="28"/>
          <w:szCs w:val="28"/>
        </w:rPr>
        <w:t>GB/T 18391.1-2009</w:t>
      </w:r>
      <w:r>
        <w:rPr>
          <w:rFonts w:hint="eastAsia" w:ascii="仿宋_GB2312" w:hAnsi="宋体" w:eastAsia="仿宋_GB2312"/>
          <w:sz w:val="28"/>
          <w:szCs w:val="28"/>
        </w:rPr>
        <w:t>关于对象类、特性和表示的定义以及</w:t>
      </w:r>
      <w:r>
        <w:rPr>
          <w:rFonts w:ascii="仿宋_GB2312" w:hAnsi="宋体" w:eastAsia="仿宋_GB2312"/>
          <w:sz w:val="28"/>
          <w:szCs w:val="28"/>
        </w:rPr>
        <w:t>GB/T 31074-2014</w:t>
      </w:r>
      <w:r>
        <w:rPr>
          <w:rFonts w:hint="eastAsia" w:ascii="仿宋_GB2312" w:hAnsi="宋体" w:eastAsia="仿宋_GB2312"/>
          <w:sz w:val="28"/>
          <w:szCs w:val="28"/>
        </w:rPr>
        <w:t>中对数据元的数据类型和数据格式的说明的相关规定。</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我们针对于果蔬类农产品乡村物流资源的具体情况按照表示的信息类别不同将数据元分为用户信息数据元、果蔬信息数据元、物流信息数据元，</w:t>
      </w:r>
      <w:r>
        <w:rPr>
          <w:rFonts w:ascii="仿宋_GB2312" w:hAnsi="宋体" w:eastAsia="仿宋_GB2312"/>
          <w:sz w:val="28"/>
          <w:szCs w:val="28"/>
        </w:rPr>
        <w:t>4.2</w:t>
      </w:r>
      <w:r>
        <w:rPr>
          <w:rFonts w:hint="eastAsia" w:ascii="仿宋_GB2312" w:hAnsi="宋体" w:eastAsia="仿宋_GB2312"/>
          <w:sz w:val="28"/>
          <w:szCs w:val="28"/>
        </w:rPr>
        <w:t>，</w:t>
      </w:r>
      <w:r>
        <w:rPr>
          <w:rFonts w:ascii="仿宋_GB2312" w:hAnsi="宋体" w:eastAsia="仿宋_GB2312"/>
          <w:sz w:val="28"/>
          <w:szCs w:val="28"/>
        </w:rPr>
        <w:t>4.3</w:t>
      </w:r>
      <w:r>
        <w:rPr>
          <w:rFonts w:hint="eastAsia" w:ascii="仿宋_GB2312" w:hAnsi="宋体" w:eastAsia="仿宋_GB2312"/>
          <w:sz w:val="28"/>
          <w:szCs w:val="28"/>
        </w:rPr>
        <w:t>，</w:t>
      </w:r>
      <w:r>
        <w:rPr>
          <w:rFonts w:ascii="仿宋_GB2312" w:hAnsi="宋体" w:eastAsia="仿宋_GB2312"/>
          <w:sz w:val="28"/>
          <w:szCs w:val="28"/>
        </w:rPr>
        <w:t>4.4</w:t>
      </w:r>
      <w:r>
        <w:rPr>
          <w:rFonts w:hint="eastAsia" w:ascii="仿宋_GB2312" w:hAnsi="宋体" w:eastAsia="仿宋_GB2312"/>
          <w:sz w:val="28"/>
          <w:szCs w:val="28"/>
        </w:rPr>
        <w:t>分别以表格的形式表示对这些数据元的要求，结合前期在陕西、山西等地调研的实际情况，本文从中文名称、英文名称、数据类型、数据格式、值域、约束、备注等方面对不同类型的数据库中的数据元进行了说明。</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其中，用户信息分为需方信息（4</w:t>
      </w:r>
      <w:r>
        <w:rPr>
          <w:rFonts w:ascii="仿宋_GB2312" w:hAnsi="宋体" w:eastAsia="仿宋_GB2312"/>
          <w:sz w:val="28"/>
          <w:szCs w:val="28"/>
        </w:rPr>
        <w:t>.2.1</w:t>
      </w:r>
      <w:r>
        <w:rPr>
          <w:rFonts w:hint="eastAsia" w:ascii="仿宋_GB2312" w:hAnsi="宋体" w:eastAsia="仿宋_GB2312"/>
          <w:sz w:val="28"/>
          <w:szCs w:val="28"/>
        </w:rPr>
        <w:t>）、供方信息（4</w:t>
      </w:r>
      <w:r>
        <w:rPr>
          <w:rFonts w:ascii="仿宋_GB2312" w:hAnsi="宋体" w:eastAsia="仿宋_GB2312"/>
          <w:sz w:val="28"/>
          <w:szCs w:val="28"/>
        </w:rPr>
        <w:t>.2.2</w:t>
      </w:r>
      <w:r>
        <w:rPr>
          <w:rFonts w:hint="eastAsia" w:ascii="仿宋_GB2312" w:hAnsi="宋体" w:eastAsia="仿宋_GB2312"/>
          <w:sz w:val="28"/>
          <w:szCs w:val="28"/>
        </w:rPr>
        <w:t>）、监管方信息（4</w:t>
      </w:r>
      <w:r>
        <w:rPr>
          <w:rFonts w:ascii="仿宋_GB2312" w:hAnsi="宋体" w:eastAsia="仿宋_GB2312"/>
          <w:sz w:val="28"/>
          <w:szCs w:val="28"/>
        </w:rPr>
        <w:t>.2.3</w:t>
      </w:r>
      <w:r>
        <w:rPr>
          <w:rFonts w:hint="eastAsia" w:ascii="仿宋_GB2312" w:hAnsi="宋体" w:eastAsia="仿宋_GB2312"/>
          <w:sz w:val="28"/>
          <w:szCs w:val="28"/>
        </w:rPr>
        <w:t>），它们包括能区分于其它用户的重要信息。</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果蔬信息</w:t>
      </w:r>
      <w:r>
        <w:rPr>
          <w:rFonts w:hint="eastAsia" w:ascii="仿宋_GB2312" w:hAnsi="宋体" w:eastAsia="仿宋_GB2312"/>
          <w:kern w:val="2"/>
          <w:sz w:val="28"/>
          <w:szCs w:val="28"/>
        </w:rPr>
        <w:t>包括果蔬类农产品的基本信息、生产信息、储存和运输等相关信息</w:t>
      </w:r>
      <w:r>
        <w:rPr>
          <w:rFonts w:hint="eastAsia" w:ascii="仿宋_GB2312" w:hAnsi="宋体" w:eastAsia="仿宋_GB2312"/>
          <w:sz w:val="28"/>
          <w:szCs w:val="28"/>
        </w:rPr>
        <w:t>。</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物流信息分为物流环节信息（4</w:t>
      </w:r>
      <w:r>
        <w:rPr>
          <w:rFonts w:ascii="仿宋_GB2312" w:hAnsi="宋体" w:eastAsia="仿宋_GB2312"/>
          <w:sz w:val="28"/>
          <w:szCs w:val="28"/>
        </w:rPr>
        <w:t>.4.1</w:t>
      </w:r>
      <w:r>
        <w:rPr>
          <w:rFonts w:hint="eastAsia" w:ascii="仿宋_GB2312" w:hAnsi="宋体" w:eastAsia="仿宋_GB2312"/>
          <w:sz w:val="28"/>
          <w:szCs w:val="28"/>
        </w:rPr>
        <w:t>）和物流设施设备信息（4</w:t>
      </w:r>
      <w:r>
        <w:rPr>
          <w:rFonts w:ascii="仿宋_GB2312" w:hAnsi="宋体" w:eastAsia="仿宋_GB2312"/>
          <w:sz w:val="28"/>
          <w:szCs w:val="28"/>
        </w:rPr>
        <w:t>.4.2</w:t>
      </w:r>
      <w:r>
        <w:rPr>
          <w:rFonts w:hint="eastAsia" w:ascii="仿宋_GB2312" w:hAnsi="宋体" w:eastAsia="仿宋_GB2312"/>
          <w:sz w:val="28"/>
          <w:szCs w:val="28"/>
        </w:rPr>
        <w:t>），其中物流环节信息包括</w:t>
      </w:r>
      <w:r>
        <w:rPr>
          <w:rFonts w:hint="eastAsia" w:ascii="仿宋_GB2312" w:hAnsi="宋体" w:eastAsia="仿宋_GB2312"/>
          <w:kern w:val="2"/>
          <w:sz w:val="28"/>
          <w:szCs w:val="28"/>
        </w:rPr>
        <w:t>运输信息</w:t>
      </w:r>
      <w:r>
        <w:rPr>
          <w:rFonts w:hint="eastAsia" w:ascii="仿宋_GB2312" w:hAnsi="宋体" w:eastAsia="仿宋_GB2312"/>
          <w:sz w:val="28"/>
          <w:szCs w:val="28"/>
        </w:rPr>
        <w:t>（4</w:t>
      </w:r>
      <w:r>
        <w:rPr>
          <w:rFonts w:ascii="仿宋_GB2312" w:hAnsi="宋体" w:eastAsia="仿宋_GB2312"/>
          <w:sz w:val="28"/>
          <w:szCs w:val="28"/>
        </w:rPr>
        <w:t>.4.1.1</w:t>
      </w:r>
      <w:r>
        <w:rPr>
          <w:rFonts w:hint="eastAsia" w:ascii="仿宋_GB2312" w:hAnsi="宋体" w:eastAsia="仿宋_GB2312"/>
          <w:sz w:val="28"/>
          <w:szCs w:val="28"/>
        </w:rPr>
        <w:t>）</w:t>
      </w:r>
      <w:r>
        <w:rPr>
          <w:rFonts w:hint="eastAsia" w:ascii="仿宋_GB2312" w:hAnsi="宋体" w:eastAsia="仿宋_GB2312"/>
          <w:kern w:val="2"/>
          <w:sz w:val="28"/>
          <w:szCs w:val="28"/>
        </w:rPr>
        <w:t>、储存信息</w:t>
      </w:r>
      <w:r>
        <w:rPr>
          <w:rFonts w:hint="eastAsia" w:ascii="仿宋_GB2312" w:hAnsi="宋体" w:eastAsia="仿宋_GB2312"/>
          <w:sz w:val="28"/>
          <w:szCs w:val="28"/>
        </w:rPr>
        <w:t>（4</w:t>
      </w:r>
      <w:r>
        <w:rPr>
          <w:rFonts w:ascii="仿宋_GB2312" w:hAnsi="宋体" w:eastAsia="仿宋_GB2312"/>
          <w:sz w:val="28"/>
          <w:szCs w:val="28"/>
        </w:rPr>
        <w:t>.4.1.2</w:t>
      </w:r>
      <w:r>
        <w:rPr>
          <w:rFonts w:hint="eastAsia" w:ascii="仿宋_GB2312" w:hAnsi="宋体" w:eastAsia="仿宋_GB2312"/>
          <w:sz w:val="28"/>
          <w:szCs w:val="28"/>
        </w:rPr>
        <w:t>）</w:t>
      </w:r>
      <w:r>
        <w:rPr>
          <w:rFonts w:hint="eastAsia" w:ascii="仿宋_GB2312" w:hAnsi="宋体" w:eastAsia="仿宋_GB2312"/>
          <w:kern w:val="2"/>
          <w:sz w:val="28"/>
          <w:szCs w:val="28"/>
        </w:rPr>
        <w:t>、包装信息</w:t>
      </w:r>
      <w:r>
        <w:rPr>
          <w:rFonts w:hint="eastAsia" w:ascii="仿宋_GB2312" w:hAnsi="宋体" w:eastAsia="仿宋_GB2312"/>
          <w:sz w:val="28"/>
          <w:szCs w:val="28"/>
        </w:rPr>
        <w:t>（4</w:t>
      </w:r>
      <w:r>
        <w:rPr>
          <w:rFonts w:ascii="仿宋_GB2312" w:hAnsi="宋体" w:eastAsia="仿宋_GB2312"/>
          <w:sz w:val="28"/>
          <w:szCs w:val="28"/>
        </w:rPr>
        <w:t>.4.1.3</w:t>
      </w:r>
      <w:r>
        <w:rPr>
          <w:rFonts w:hint="eastAsia" w:ascii="仿宋_GB2312" w:hAnsi="宋体" w:eastAsia="仿宋_GB2312"/>
          <w:sz w:val="28"/>
          <w:szCs w:val="28"/>
        </w:rPr>
        <w:t>）和配送信息（4</w:t>
      </w:r>
      <w:r>
        <w:rPr>
          <w:rFonts w:ascii="仿宋_GB2312" w:hAnsi="宋体" w:eastAsia="仿宋_GB2312"/>
          <w:sz w:val="28"/>
          <w:szCs w:val="28"/>
        </w:rPr>
        <w:t>.4.1.4</w:t>
      </w:r>
      <w:r>
        <w:rPr>
          <w:rFonts w:hint="eastAsia" w:ascii="仿宋_GB2312" w:hAnsi="宋体" w:eastAsia="仿宋_GB2312"/>
          <w:sz w:val="28"/>
          <w:szCs w:val="28"/>
        </w:rPr>
        <w:t>）。</w:t>
      </w:r>
      <w:r>
        <w:rPr>
          <w:rFonts w:hint="eastAsia" w:ascii="仿宋_GB2312" w:hAnsi="宋体" w:eastAsia="仿宋_GB2312"/>
          <w:kern w:val="2"/>
          <w:sz w:val="28"/>
          <w:szCs w:val="28"/>
        </w:rPr>
        <w:t>运输信息包括运输的车辆，运输的果蔬类农产品信息以及相关的物理运输条件；储存信息包括仓库的相关信息，储存的果蔬类农产品信息以及相关的物理储存条件；包装信息包括包装的材料，包装的果蔬类农产品信息以及包装设备的信息；配送信息包括配送的车辆，配送的果蔬类农产品信息以及相关的物理配送条件</w:t>
      </w:r>
      <w:r>
        <w:rPr>
          <w:rFonts w:hint="eastAsia" w:ascii="仿宋_GB2312" w:hAnsi="宋体" w:eastAsia="仿宋_GB2312"/>
          <w:sz w:val="28"/>
          <w:szCs w:val="28"/>
        </w:rPr>
        <w:t>。物流设施设备信息分为车辆信息（4</w:t>
      </w:r>
      <w:r>
        <w:rPr>
          <w:rFonts w:ascii="仿宋_GB2312" w:hAnsi="宋体" w:eastAsia="仿宋_GB2312"/>
          <w:sz w:val="28"/>
          <w:szCs w:val="28"/>
        </w:rPr>
        <w:t>.4.1</w:t>
      </w:r>
      <w:r>
        <w:rPr>
          <w:rFonts w:hint="eastAsia" w:ascii="仿宋_GB2312" w:hAnsi="宋体" w:eastAsia="仿宋_GB2312"/>
          <w:sz w:val="28"/>
          <w:szCs w:val="28"/>
        </w:rPr>
        <w:t>）、仓库信息（4</w:t>
      </w:r>
      <w:r>
        <w:rPr>
          <w:rFonts w:ascii="仿宋_GB2312" w:hAnsi="宋体" w:eastAsia="仿宋_GB2312"/>
          <w:sz w:val="28"/>
          <w:szCs w:val="28"/>
        </w:rPr>
        <w:t>.4.2</w:t>
      </w:r>
      <w:r>
        <w:rPr>
          <w:rFonts w:hint="eastAsia" w:ascii="仿宋_GB2312" w:hAnsi="宋体" w:eastAsia="仿宋_GB2312"/>
          <w:sz w:val="28"/>
          <w:szCs w:val="28"/>
        </w:rPr>
        <w:t>）和设备信息（4</w:t>
      </w:r>
      <w:r>
        <w:rPr>
          <w:rFonts w:ascii="仿宋_GB2312" w:hAnsi="宋体" w:eastAsia="仿宋_GB2312"/>
          <w:sz w:val="28"/>
          <w:szCs w:val="28"/>
        </w:rPr>
        <w:t>.4.3</w:t>
      </w:r>
      <w:r>
        <w:rPr>
          <w:rFonts w:hint="eastAsia" w:ascii="仿宋_GB2312" w:hAnsi="宋体" w:eastAsia="仿宋_GB2312"/>
          <w:sz w:val="28"/>
          <w:szCs w:val="28"/>
        </w:rPr>
        <w:t>），它们包括能区分于其它设备设施的重要信息。</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数据元的类别参照T/CFLP XXXX</w:t>
      </w:r>
      <w:r>
        <w:rPr>
          <w:rFonts w:ascii="仿宋_GB2312" w:hAnsi="宋体" w:eastAsia="仿宋_GB2312"/>
          <w:sz w:val="28"/>
          <w:szCs w:val="28"/>
        </w:rPr>
        <w:t xml:space="preserve"> </w:t>
      </w:r>
      <w:r>
        <w:rPr>
          <w:rFonts w:hint="eastAsia" w:ascii="仿宋_GB2312" w:hAnsi="宋体" w:eastAsia="仿宋_GB2312"/>
          <w:sz w:val="28"/>
          <w:szCs w:val="28"/>
        </w:rPr>
        <w:t>《果蔬类农产品乡村物流信息平台管理要求》的内容，并结合了企业调研的反馈情况（具体调研企业信息见附件1）。另外，本章根据研讨会的建议，对数据元的表示进行了精简，并对值域的相关表述进行了规范。</w:t>
      </w:r>
    </w:p>
    <w:p>
      <w:pPr>
        <w:pStyle w:val="13"/>
        <w:numPr>
          <w:ilvl w:val="0"/>
          <w:numId w:val="2"/>
        </w:numPr>
        <w:snapToGrid w:val="0"/>
        <w:spacing w:line="360" w:lineRule="auto"/>
        <w:ind w:firstLine="560"/>
        <w:rPr>
          <w:rFonts w:ascii="仿宋_GB2312" w:hAnsi="宋体" w:eastAsia="仿宋_GB2312"/>
          <w:b/>
          <w:sz w:val="28"/>
          <w:szCs w:val="28"/>
        </w:rPr>
      </w:pPr>
      <w:bookmarkStart w:id="6" w:name="_Hlk515291211"/>
      <w:r>
        <w:rPr>
          <w:rFonts w:hint="eastAsia" w:ascii="仿宋_GB2312" w:hAnsi="宋体" w:eastAsia="仿宋_GB2312"/>
          <w:b/>
          <w:sz w:val="28"/>
          <w:szCs w:val="28"/>
        </w:rPr>
        <w:t>废止现行有关标准的建议</w:t>
      </w:r>
    </w:p>
    <w:p>
      <w:pPr>
        <w:pStyle w:val="13"/>
        <w:snapToGrid w:val="0"/>
        <w:spacing w:line="360" w:lineRule="auto"/>
        <w:ind w:firstLine="560"/>
        <w:rPr>
          <w:rFonts w:ascii="仿宋_GB2312" w:hAnsi="宋体" w:eastAsia="仿宋_GB2312"/>
          <w:sz w:val="28"/>
          <w:szCs w:val="28"/>
        </w:rPr>
      </w:pPr>
      <w:r>
        <w:rPr>
          <w:rFonts w:hint="eastAsia" w:ascii="仿宋_GB2312" w:hAnsi="宋体" w:eastAsia="仿宋_GB2312"/>
          <w:sz w:val="28"/>
          <w:szCs w:val="28"/>
        </w:rPr>
        <w:t>无。</w:t>
      </w:r>
    </w:p>
    <w:p>
      <w:pPr>
        <w:pStyle w:val="13"/>
        <w:snapToGrid w:val="0"/>
        <w:spacing w:line="360" w:lineRule="auto"/>
        <w:ind w:firstLine="560"/>
        <w:rPr>
          <w:rFonts w:ascii="仿宋_GB2312" w:hAnsi="宋体" w:eastAsia="仿宋_GB2312"/>
          <w:b/>
          <w:sz w:val="28"/>
          <w:szCs w:val="28"/>
        </w:rPr>
      </w:pPr>
      <w:r>
        <w:rPr>
          <w:rFonts w:hint="eastAsia" w:ascii="仿宋_GB2312" w:hAnsi="宋体" w:eastAsia="仿宋_GB2312"/>
          <w:b/>
          <w:sz w:val="28"/>
          <w:szCs w:val="28"/>
        </w:rPr>
        <w:t>七、重大意见分歧的处理经过和依据</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无。</w:t>
      </w:r>
    </w:p>
    <w:bookmarkEnd w:id="6"/>
    <w:p>
      <w:pPr>
        <w:pStyle w:val="13"/>
        <w:snapToGrid w:val="0"/>
        <w:spacing w:line="360" w:lineRule="auto"/>
        <w:ind w:firstLine="560"/>
        <w:rPr>
          <w:rFonts w:ascii="仿宋_GB2312" w:hAnsi="宋体" w:eastAsia="仿宋_GB2312"/>
          <w:b/>
          <w:sz w:val="28"/>
          <w:szCs w:val="28"/>
        </w:rPr>
      </w:pPr>
      <w:r>
        <w:rPr>
          <w:rFonts w:hint="eastAsia" w:ascii="仿宋_GB2312" w:hAnsi="宋体" w:eastAsia="仿宋_GB2312"/>
          <w:b/>
          <w:sz w:val="28"/>
          <w:szCs w:val="28"/>
        </w:rPr>
        <w:t>八、采标情况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13"/>
        <w:snapToGrid w:val="0"/>
        <w:spacing w:line="360" w:lineRule="auto"/>
        <w:ind w:firstLine="560"/>
        <w:rPr>
          <w:rFonts w:ascii="仿宋_GB2312" w:hAnsi="宋体" w:eastAsia="仿宋_GB2312"/>
          <w:b/>
          <w:sz w:val="28"/>
          <w:szCs w:val="28"/>
        </w:rPr>
      </w:pPr>
      <w:r>
        <w:rPr>
          <w:rFonts w:hint="eastAsia" w:ascii="仿宋_GB2312" w:hAnsi="宋体" w:eastAsia="仿宋_GB2312"/>
          <w:b/>
          <w:sz w:val="28"/>
          <w:szCs w:val="28"/>
        </w:rPr>
        <w:t>九、与现行法律、法规和强制性国家标准的关系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本标准符合现行相关法律、法规的规定，与现有标准和制定中的标准，特别是强制性标准无冲突之处。</w:t>
      </w:r>
    </w:p>
    <w:p>
      <w:pPr>
        <w:pStyle w:val="13"/>
        <w:snapToGrid w:val="0"/>
        <w:spacing w:line="360" w:lineRule="auto"/>
        <w:ind w:firstLine="560"/>
        <w:rPr>
          <w:rFonts w:ascii="仿宋_GB2312" w:hAnsi="宋体" w:eastAsia="仿宋_GB2312"/>
          <w:b/>
          <w:sz w:val="28"/>
          <w:szCs w:val="28"/>
        </w:rPr>
      </w:pPr>
      <w:r>
        <w:rPr>
          <w:rFonts w:hint="eastAsia" w:ascii="仿宋_GB2312" w:hAnsi="宋体" w:eastAsia="仿宋_GB2312"/>
          <w:b/>
          <w:sz w:val="28"/>
          <w:szCs w:val="28"/>
        </w:rPr>
        <w:t xml:space="preserve">十、其他应予说明的事项 </w:t>
      </w:r>
    </w:p>
    <w:p>
      <w:pPr>
        <w:snapToGrid w:val="0"/>
        <w:spacing w:line="360" w:lineRule="auto"/>
        <w:ind w:right="0" w:firstLine="560" w:firstLineChars="200"/>
        <w:rPr>
          <w:rFonts w:ascii="仿宋_GB2312" w:hAnsi="宋体" w:eastAsia="仿宋_GB2312"/>
          <w:b w:val="0"/>
          <w:sz w:val="28"/>
          <w:szCs w:val="28"/>
        </w:rPr>
      </w:pPr>
      <w:r>
        <w:rPr>
          <w:rFonts w:hint="eastAsia" w:ascii="仿宋_GB2312" w:hAnsi="宋体" w:eastAsia="仿宋_GB2312"/>
          <w:sz w:val="28"/>
          <w:szCs w:val="28"/>
        </w:rPr>
        <w:t>本标准中的要求型条款或引用相关标准中的技术参数或来源于企业的作业实践，所提要求均可以被满足。</w:t>
      </w:r>
    </w:p>
    <w:p>
      <w:pPr>
        <w:spacing w:line="400" w:lineRule="exact"/>
        <w:ind w:right="480" w:firstLine="4638" w:firstLineChars="1650"/>
        <w:rPr>
          <w:rFonts w:ascii="仿宋_GB2312" w:hAnsi="宋体" w:eastAsia="仿宋_GB2312"/>
          <w:b/>
          <w:sz w:val="28"/>
          <w:szCs w:val="28"/>
        </w:rPr>
      </w:pPr>
    </w:p>
    <w:p>
      <w:pPr>
        <w:spacing w:line="400" w:lineRule="exact"/>
        <w:ind w:right="480" w:firstLine="4638" w:firstLineChars="1650"/>
        <w:rPr>
          <w:rFonts w:ascii="仿宋_GB2312" w:hAnsi="宋体" w:eastAsia="仿宋_GB2312"/>
          <w:b/>
          <w:sz w:val="28"/>
          <w:szCs w:val="28"/>
        </w:rPr>
      </w:pPr>
    </w:p>
    <w:p>
      <w:pPr>
        <w:spacing w:line="400" w:lineRule="exact"/>
        <w:ind w:right="480" w:firstLine="4638" w:firstLineChars="1650"/>
        <w:rPr>
          <w:rFonts w:ascii="仿宋_GB2312" w:hAnsi="宋体" w:eastAsia="仿宋_GB2312"/>
          <w:b/>
          <w:sz w:val="28"/>
          <w:szCs w:val="28"/>
        </w:rPr>
      </w:pPr>
    </w:p>
    <w:p>
      <w:pPr>
        <w:spacing w:line="400" w:lineRule="exact"/>
        <w:ind w:firstLine="562" w:firstLineChars="200"/>
        <w:jc w:val="right"/>
        <w:rPr>
          <w:rFonts w:ascii="仿宋_GB2312" w:hAnsi="宋体" w:eastAsia="仿宋_GB2312"/>
          <w:b/>
          <w:sz w:val="28"/>
          <w:szCs w:val="28"/>
        </w:rPr>
      </w:pPr>
      <w:r>
        <w:rPr>
          <w:rFonts w:hint="eastAsia" w:ascii="仿宋_GB2312" w:hAnsi="宋体" w:eastAsia="仿宋_GB2312"/>
          <w:b/>
          <w:sz w:val="28"/>
          <w:szCs w:val="28"/>
        </w:rPr>
        <w:t>《果蔬类农产品乡村物流资源数据要求》标准起草组</w:t>
      </w:r>
    </w:p>
    <w:p>
      <w:pPr>
        <w:spacing w:line="400" w:lineRule="exact"/>
        <w:ind w:right="480" w:firstLine="4638" w:firstLineChars="1650"/>
        <w:rPr>
          <w:rFonts w:ascii="仿宋_GB2312" w:hAnsi="宋体" w:eastAsia="仿宋_GB2312"/>
          <w:b/>
          <w:sz w:val="28"/>
          <w:szCs w:val="28"/>
        </w:rPr>
      </w:pPr>
      <w:bookmarkStart w:id="7" w:name="_Toc415095846"/>
      <w:bookmarkEnd w:id="7"/>
      <w:bookmarkStart w:id="8" w:name="_Toc415096411"/>
      <w:bookmarkEnd w:id="8"/>
      <w:r>
        <w:rPr>
          <w:rFonts w:hint="eastAsia" w:ascii="仿宋_GB2312" w:hAnsi="宋体" w:eastAsia="仿宋_GB2312"/>
          <w:b/>
          <w:sz w:val="28"/>
          <w:szCs w:val="28"/>
        </w:rPr>
        <w:t>2022年</w:t>
      </w:r>
      <w:r>
        <w:rPr>
          <w:rFonts w:hint="eastAsia" w:ascii="仿宋_GB2312" w:hAnsi="宋体" w:eastAsia="仿宋_GB2312"/>
          <w:b/>
          <w:sz w:val="28"/>
          <w:szCs w:val="28"/>
          <w:lang w:val="en-US" w:eastAsia="zh-CN"/>
        </w:rPr>
        <w:t>3</w:t>
      </w:r>
      <w:r>
        <w:rPr>
          <w:rFonts w:hint="eastAsia" w:ascii="仿宋_GB2312" w:hAnsi="宋体" w:eastAsia="仿宋_GB2312"/>
          <w:b/>
          <w:sz w:val="28"/>
          <w:szCs w:val="28"/>
        </w:rPr>
        <w:t>月2日</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br w:type="page"/>
      </w:r>
    </w:p>
    <w:p>
      <w:pPr>
        <w:spacing w:line="400" w:lineRule="exact"/>
        <w:ind w:right="480"/>
        <w:rPr>
          <w:rFonts w:ascii="黑体" w:hAnsi="黑体" w:eastAsia="黑体"/>
          <w:b/>
          <w:sz w:val="24"/>
        </w:rPr>
      </w:pPr>
      <w:bookmarkStart w:id="9" w:name="_Hlk90973914"/>
      <w:r>
        <w:rPr>
          <w:rFonts w:hint="eastAsia" w:ascii="黑体" w:hAnsi="黑体" w:eastAsia="黑体"/>
          <w:bCs/>
          <w:sz w:val="24"/>
        </w:rPr>
        <w:t>附件1：企业调研信息</w:t>
      </w:r>
    </w:p>
    <w:p>
      <w:pPr>
        <w:spacing w:line="400" w:lineRule="exact"/>
        <w:ind w:right="480" w:firstLine="3373" w:firstLineChars="1200"/>
        <w:jc w:val="left"/>
        <w:rPr>
          <w:rFonts w:ascii="仿宋_GB2312" w:hAnsi="宋体" w:eastAsia="仿宋_GB2312"/>
          <w:b/>
          <w:sz w:val="28"/>
          <w:szCs w:val="28"/>
        </w:rPr>
      </w:pPr>
      <w:r>
        <w:rPr>
          <w:rFonts w:hint="eastAsia" w:ascii="仿宋_GB2312" w:hAnsi="宋体" w:eastAsia="仿宋_GB2312"/>
          <w:b/>
          <w:sz w:val="28"/>
          <w:szCs w:val="28"/>
        </w:rPr>
        <w:t>企业</w:t>
      </w:r>
      <w:r>
        <w:rPr>
          <w:rFonts w:ascii="仿宋_GB2312" w:hAnsi="宋体" w:eastAsia="仿宋_GB2312"/>
          <w:b/>
          <w:sz w:val="28"/>
          <w:szCs w:val="28"/>
        </w:rPr>
        <w:t>调研信息</w:t>
      </w:r>
    </w:p>
    <w:tbl>
      <w:tblPr>
        <w:tblStyle w:val="7"/>
        <w:tblW w:w="8178" w:type="dxa"/>
        <w:jc w:val="center"/>
        <w:tblLayout w:type="fixed"/>
        <w:tblCellMar>
          <w:top w:w="0" w:type="dxa"/>
          <w:left w:w="0" w:type="dxa"/>
          <w:bottom w:w="0" w:type="dxa"/>
          <w:right w:w="0" w:type="dxa"/>
        </w:tblCellMar>
      </w:tblPr>
      <w:tblGrid>
        <w:gridCol w:w="562"/>
        <w:gridCol w:w="3300"/>
        <w:gridCol w:w="810"/>
        <w:gridCol w:w="1626"/>
        <w:gridCol w:w="980"/>
        <w:gridCol w:w="900"/>
      </w:tblGrid>
      <w:tr>
        <w:tblPrEx>
          <w:tblCellMar>
            <w:top w:w="0" w:type="dxa"/>
            <w:left w:w="0" w:type="dxa"/>
            <w:bottom w:w="0" w:type="dxa"/>
            <w:right w:w="0"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b/>
                <w:color w:val="000000"/>
                <w:kern w:val="0"/>
                <w:szCs w:val="21"/>
                <w:lang w:bidi="ar"/>
              </w:rPr>
            </w:pPr>
            <w:r>
              <w:rPr>
                <w:rFonts w:ascii="仿宋_GB2312" w:hAnsi="宋体" w:eastAsia="仿宋_GB2312" w:cs="宋体"/>
                <w:b/>
                <w:color w:val="000000"/>
                <w:kern w:val="0"/>
                <w:szCs w:val="21"/>
                <w:lang w:bidi="ar"/>
              </w:rPr>
              <w:t>序号</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调研企业</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联系人</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联系方式</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调研时间</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调研方式</w:t>
            </w:r>
          </w:p>
        </w:tc>
      </w:tr>
      <w:tr>
        <w:tblPrEx>
          <w:tblCellMar>
            <w:top w:w="0" w:type="dxa"/>
            <w:left w:w="0" w:type="dxa"/>
            <w:bottom w:w="0" w:type="dxa"/>
            <w:right w:w="0"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b/>
                <w:color w:val="000000"/>
                <w:kern w:val="0"/>
                <w:szCs w:val="21"/>
                <w:lang w:bidi="ar"/>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全国供销总社济南果品院</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杨相政</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15</w:t>
            </w:r>
            <w:r>
              <w:rPr>
                <w:rFonts w:ascii="仿宋_GB2312" w:hAnsi="宋体" w:eastAsia="仿宋_GB2312" w:cs="宋体"/>
                <w:color w:val="000000"/>
                <w:kern w:val="0"/>
                <w:szCs w:val="21"/>
                <w:lang w:bidi="ar"/>
              </w:rPr>
              <w:t>865277717</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会议</w:t>
            </w:r>
          </w:p>
        </w:tc>
      </w:tr>
      <w:tr>
        <w:tblPrEx>
          <w:tblCellMar>
            <w:top w:w="0" w:type="dxa"/>
            <w:left w:w="0" w:type="dxa"/>
            <w:bottom w:w="0" w:type="dxa"/>
            <w:right w:w="0" w:type="dxa"/>
          </w:tblCellMar>
        </w:tblPrEx>
        <w:trPr>
          <w:trHeight w:val="425"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中关村绿色冷链物流产业联盟</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崔磊</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139</w:t>
            </w:r>
            <w:r>
              <w:rPr>
                <w:rFonts w:ascii="仿宋_GB2312" w:hAnsi="宋体" w:eastAsia="仿宋_GB2312" w:cs="宋体"/>
                <w:color w:val="000000"/>
                <w:kern w:val="0"/>
                <w:szCs w:val="21"/>
                <w:lang w:bidi="ar"/>
              </w:rPr>
              <w:t>11888352</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会议</w:t>
            </w:r>
          </w:p>
        </w:tc>
      </w:tr>
      <w:tr>
        <w:tblPrEx>
          <w:tblCellMar>
            <w:top w:w="0" w:type="dxa"/>
            <w:left w:w="0" w:type="dxa"/>
            <w:bottom w:w="0" w:type="dxa"/>
            <w:right w:w="0" w:type="dxa"/>
          </w:tblCellMar>
        </w:tblPrEx>
        <w:trPr>
          <w:trHeight w:val="385"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北京京东振世信息技术有限公司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陈超</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18310866807</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385"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东南大学</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赵林度</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13805167850</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电话</w:t>
            </w:r>
          </w:p>
        </w:tc>
      </w:tr>
      <w:tr>
        <w:tblPrEx>
          <w:tblCellMar>
            <w:top w:w="0" w:type="dxa"/>
            <w:left w:w="0" w:type="dxa"/>
            <w:bottom w:w="0" w:type="dxa"/>
            <w:right w:w="0" w:type="dxa"/>
          </w:tblCellMar>
        </w:tblPrEx>
        <w:trPr>
          <w:trHeight w:val="5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广西百色学院</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杨郑州</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1380</w:t>
            </w:r>
            <w:r>
              <w:rPr>
                <w:rFonts w:ascii="仿宋_GB2312" w:hAnsi="宋体" w:eastAsia="仿宋_GB2312" w:cs="宋体"/>
                <w:color w:val="000000"/>
                <w:kern w:val="0"/>
                <w:szCs w:val="21"/>
                <w:lang w:bidi="ar"/>
              </w:rPr>
              <w:t>7861578</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41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陕西省黄陵县桥山红果业有限公司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刘双奎</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13992113615</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2019</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43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山西皓美果蔬有限公司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杜红羌</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17635582888</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50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夏晖物流（北京）有限公司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黎子蔚</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020-32221111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会议</w:t>
            </w:r>
          </w:p>
        </w:tc>
      </w:tr>
      <w:tr>
        <w:tblPrEx>
          <w:tblCellMar>
            <w:top w:w="0" w:type="dxa"/>
            <w:left w:w="0" w:type="dxa"/>
            <w:bottom w:w="0" w:type="dxa"/>
            <w:right w:w="0" w:type="dxa"/>
          </w:tblCellMar>
        </w:tblPrEx>
        <w:trPr>
          <w:trHeight w:val="4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lang w:bidi="ar"/>
              </w:rPr>
              <w:t>老</w:t>
            </w:r>
            <w:r>
              <w:rPr>
                <w:rFonts w:ascii="仿宋_GB2312" w:hAnsi="宋体" w:eastAsia="仿宋_GB2312" w:cs="宋体"/>
                <w:color w:val="000000"/>
                <w:kern w:val="0"/>
                <w:lang w:bidi="ar"/>
              </w:rPr>
              <w:t>河口市绿沃投资有限公司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张晶</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r>
              <w:rPr>
                <w:rFonts w:ascii="仿宋_GB2312" w:hAnsi="宋体" w:eastAsia="仿宋_GB2312" w:cs="宋体"/>
                <w:color w:val="000000"/>
                <w:kern w:val="0"/>
                <w:szCs w:val="21"/>
                <w:lang w:bidi="ar"/>
              </w:rPr>
              <w:t>3476377866</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4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100" w:beforeAutospacing="1" w:after="100" w:afterAutospacing="1"/>
              <w:jc w:val="left"/>
              <w:outlineLvl w:val="0"/>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廊坊海泽田农业开发有限公司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陶传涛</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18602628063</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r>
              <w:rPr>
                <w:rFonts w:ascii="仿宋_GB2312" w:hAnsi="宋体" w:eastAsia="仿宋_GB2312" w:cs="宋体"/>
                <w:color w:val="000000"/>
                <w:kern w:val="0"/>
                <w:szCs w:val="21"/>
                <w:lang w:bidi="ar"/>
              </w:rPr>
              <w:t>021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4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kern w:val="0"/>
                <w:szCs w:val="21"/>
                <w:lang w:bidi="ar"/>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中物联冷链委标准化顾问团</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杨雷铭</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18918767658</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会议</w:t>
            </w:r>
          </w:p>
        </w:tc>
      </w:tr>
      <w:tr>
        <w:tblPrEx>
          <w:tblCellMar>
            <w:top w:w="0" w:type="dxa"/>
            <w:left w:w="0" w:type="dxa"/>
            <w:bottom w:w="0" w:type="dxa"/>
            <w:right w:w="0" w:type="dxa"/>
          </w:tblCellMar>
        </w:tblPrEx>
        <w:trPr>
          <w:trHeight w:val="4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kern w:val="0"/>
                <w:szCs w:val="21"/>
                <w:lang w:bidi="ar"/>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丰县公共数据中心</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王坤</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r>
              <w:rPr>
                <w:rFonts w:ascii="仿宋_GB2312" w:hAnsi="宋体" w:eastAsia="仿宋_GB2312" w:cs="宋体"/>
                <w:color w:val="000000"/>
                <w:kern w:val="0"/>
                <w:szCs w:val="21"/>
                <w:lang w:bidi="ar"/>
              </w:rPr>
              <w:t>3921775556</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r>
              <w:rPr>
                <w:rFonts w:ascii="仿宋_GB2312" w:hAnsi="宋体" w:eastAsia="仿宋_GB2312" w:cs="宋体"/>
                <w:color w:val="000000"/>
                <w:kern w:val="0"/>
                <w:szCs w:val="21"/>
                <w:lang w:bidi="ar"/>
              </w:rPr>
              <w:t>021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bookmarkEnd w:id="9"/>
    </w:tbl>
    <w:p>
      <w:pPr>
        <w:snapToGrid w:val="0"/>
        <w:spacing w:line="360" w:lineRule="auto"/>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45B9"/>
    <w:multiLevelType w:val="singleLevel"/>
    <w:tmpl w:val="898945B9"/>
    <w:lvl w:ilvl="0" w:tentative="0">
      <w:start w:val="6"/>
      <w:numFmt w:val="chineseCounting"/>
      <w:suff w:val="nothing"/>
      <w:lvlText w:val="%1、"/>
      <w:lvlJc w:val="left"/>
      <w:rPr>
        <w:rFonts w:hint="eastAsia"/>
      </w:rPr>
    </w:lvl>
  </w:abstractNum>
  <w:abstractNum w:abstractNumId="1">
    <w:nsid w:val="9668E160"/>
    <w:multiLevelType w:val="singleLevel"/>
    <w:tmpl w:val="9668E160"/>
    <w:lvl w:ilvl="0" w:tentative="0">
      <w:start w:val="1"/>
      <w:numFmt w:val="decimal"/>
      <w:lvlText w:val="%1."/>
      <w:lvlJc w:val="left"/>
      <w:pPr>
        <w:ind w:left="567" w:hanging="425"/>
      </w:pPr>
      <w:rPr>
        <w:rFonts w:hint="default"/>
      </w:rPr>
    </w:lvl>
  </w:abstractNum>
  <w:abstractNum w:abstractNumId="2">
    <w:nsid w:val="C96404C0"/>
    <w:multiLevelType w:val="singleLevel"/>
    <w:tmpl w:val="C96404C0"/>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B9"/>
    <w:rsid w:val="00001E21"/>
    <w:rsid w:val="000118EC"/>
    <w:rsid w:val="0001230A"/>
    <w:rsid w:val="0001262A"/>
    <w:rsid w:val="00026F2F"/>
    <w:rsid w:val="000349DF"/>
    <w:rsid w:val="00040C4E"/>
    <w:rsid w:val="00045F0B"/>
    <w:rsid w:val="00067A06"/>
    <w:rsid w:val="000801F5"/>
    <w:rsid w:val="00090DC4"/>
    <w:rsid w:val="00091848"/>
    <w:rsid w:val="000F2E90"/>
    <w:rsid w:val="000F4A31"/>
    <w:rsid w:val="001059A6"/>
    <w:rsid w:val="0011528A"/>
    <w:rsid w:val="001366CF"/>
    <w:rsid w:val="001409F2"/>
    <w:rsid w:val="00141400"/>
    <w:rsid w:val="00152EB4"/>
    <w:rsid w:val="00160609"/>
    <w:rsid w:val="001607ED"/>
    <w:rsid w:val="00164EFE"/>
    <w:rsid w:val="00173F66"/>
    <w:rsid w:val="00194354"/>
    <w:rsid w:val="001A4171"/>
    <w:rsid w:val="001B511E"/>
    <w:rsid w:val="001C27E2"/>
    <w:rsid w:val="001F15E5"/>
    <w:rsid w:val="001F3C59"/>
    <w:rsid w:val="00203C83"/>
    <w:rsid w:val="002300C2"/>
    <w:rsid w:val="00245907"/>
    <w:rsid w:val="00254BB2"/>
    <w:rsid w:val="0026745B"/>
    <w:rsid w:val="0027132C"/>
    <w:rsid w:val="00284910"/>
    <w:rsid w:val="002A2C79"/>
    <w:rsid w:val="002C4C05"/>
    <w:rsid w:val="002F0EE0"/>
    <w:rsid w:val="002F262E"/>
    <w:rsid w:val="00316584"/>
    <w:rsid w:val="00324781"/>
    <w:rsid w:val="00327947"/>
    <w:rsid w:val="0034237F"/>
    <w:rsid w:val="0035708C"/>
    <w:rsid w:val="00361DDC"/>
    <w:rsid w:val="003761C6"/>
    <w:rsid w:val="00377B38"/>
    <w:rsid w:val="003929D1"/>
    <w:rsid w:val="003943D0"/>
    <w:rsid w:val="003962C9"/>
    <w:rsid w:val="003E307F"/>
    <w:rsid w:val="0040114E"/>
    <w:rsid w:val="00423C68"/>
    <w:rsid w:val="00424D2F"/>
    <w:rsid w:val="00432AE9"/>
    <w:rsid w:val="004406C8"/>
    <w:rsid w:val="00444AA3"/>
    <w:rsid w:val="00461FF3"/>
    <w:rsid w:val="00463A9C"/>
    <w:rsid w:val="00481D22"/>
    <w:rsid w:val="00486D62"/>
    <w:rsid w:val="00493CBF"/>
    <w:rsid w:val="004A1336"/>
    <w:rsid w:val="004D5304"/>
    <w:rsid w:val="004E71F2"/>
    <w:rsid w:val="005352FA"/>
    <w:rsid w:val="00537CC0"/>
    <w:rsid w:val="005412B9"/>
    <w:rsid w:val="005448CA"/>
    <w:rsid w:val="0055066E"/>
    <w:rsid w:val="0055426C"/>
    <w:rsid w:val="0059793B"/>
    <w:rsid w:val="005A58B5"/>
    <w:rsid w:val="005C1786"/>
    <w:rsid w:val="005C327D"/>
    <w:rsid w:val="005D0716"/>
    <w:rsid w:val="005D6BC5"/>
    <w:rsid w:val="00605904"/>
    <w:rsid w:val="00610537"/>
    <w:rsid w:val="0062621E"/>
    <w:rsid w:val="00630760"/>
    <w:rsid w:val="00630D92"/>
    <w:rsid w:val="006324D6"/>
    <w:rsid w:val="00641BAD"/>
    <w:rsid w:val="00654C30"/>
    <w:rsid w:val="00694E80"/>
    <w:rsid w:val="006B19BC"/>
    <w:rsid w:val="006C14C8"/>
    <w:rsid w:val="006C1889"/>
    <w:rsid w:val="006F2077"/>
    <w:rsid w:val="007001B1"/>
    <w:rsid w:val="00707E7F"/>
    <w:rsid w:val="007114EB"/>
    <w:rsid w:val="007806F3"/>
    <w:rsid w:val="007837A6"/>
    <w:rsid w:val="007936F1"/>
    <w:rsid w:val="007A11A2"/>
    <w:rsid w:val="007A5868"/>
    <w:rsid w:val="007B33EC"/>
    <w:rsid w:val="007C4CEB"/>
    <w:rsid w:val="007E49E8"/>
    <w:rsid w:val="00806747"/>
    <w:rsid w:val="00812745"/>
    <w:rsid w:val="00813C64"/>
    <w:rsid w:val="008331CB"/>
    <w:rsid w:val="00834B57"/>
    <w:rsid w:val="008601D8"/>
    <w:rsid w:val="008A4FE6"/>
    <w:rsid w:val="008C4C98"/>
    <w:rsid w:val="008C6540"/>
    <w:rsid w:val="008E31D5"/>
    <w:rsid w:val="00900312"/>
    <w:rsid w:val="0090645D"/>
    <w:rsid w:val="00912175"/>
    <w:rsid w:val="00925179"/>
    <w:rsid w:val="00930FA1"/>
    <w:rsid w:val="00933B0B"/>
    <w:rsid w:val="00933F36"/>
    <w:rsid w:val="0095485A"/>
    <w:rsid w:val="00987217"/>
    <w:rsid w:val="009A2D68"/>
    <w:rsid w:val="009A5525"/>
    <w:rsid w:val="009C0F34"/>
    <w:rsid w:val="009D6418"/>
    <w:rsid w:val="009F29C4"/>
    <w:rsid w:val="009F73A5"/>
    <w:rsid w:val="00A152B6"/>
    <w:rsid w:val="00A27BF1"/>
    <w:rsid w:val="00A509E2"/>
    <w:rsid w:val="00A67A82"/>
    <w:rsid w:val="00A85F9E"/>
    <w:rsid w:val="00A97421"/>
    <w:rsid w:val="00AB5270"/>
    <w:rsid w:val="00AC0DFD"/>
    <w:rsid w:val="00AD5442"/>
    <w:rsid w:val="00AE3E9D"/>
    <w:rsid w:val="00B15D52"/>
    <w:rsid w:val="00B169D9"/>
    <w:rsid w:val="00B34EE9"/>
    <w:rsid w:val="00B41D53"/>
    <w:rsid w:val="00B563FF"/>
    <w:rsid w:val="00B71099"/>
    <w:rsid w:val="00B7655C"/>
    <w:rsid w:val="00B8604F"/>
    <w:rsid w:val="00B94058"/>
    <w:rsid w:val="00BD12AB"/>
    <w:rsid w:val="00C03FE8"/>
    <w:rsid w:val="00C20E3B"/>
    <w:rsid w:val="00C33D7F"/>
    <w:rsid w:val="00C34F01"/>
    <w:rsid w:val="00C55D52"/>
    <w:rsid w:val="00C83CE4"/>
    <w:rsid w:val="00C94659"/>
    <w:rsid w:val="00C965C4"/>
    <w:rsid w:val="00CB27B5"/>
    <w:rsid w:val="00CC526A"/>
    <w:rsid w:val="00CD0523"/>
    <w:rsid w:val="00CD6FC6"/>
    <w:rsid w:val="00CE264C"/>
    <w:rsid w:val="00CF2132"/>
    <w:rsid w:val="00CF3163"/>
    <w:rsid w:val="00CF3CAF"/>
    <w:rsid w:val="00D01F35"/>
    <w:rsid w:val="00D10334"/>
    <w:rsid w:val="00D20D79"/>
    <w:rsid w:val="00D37377"/>
    <w:rsid w:val="00D47380"/>
    <w:rsid w:val="00D74FC8"/>
    <w:rsid w:val="00D94DDE"/>
    <w:rsid w:val="00DA0167"/>
    <w:rsid w:val="00DD115E"/>
    <w:rsid w:val="00DD6C36"/>
    <w:rsid w:val="00DF6E5D"/>
    <w:rsid w:val="00E0297E"/>
    <w:rsid w:val="00E15720"/>
    <w:rsid w:val="00E2018D"/>
    <w:rsid w:val="00E3473E"/>
    <w:rsid w:val="00E56DB4"/>
    <w:rsid w:val="00E67CAA"/>
    <w:rsid w:val="00E71F5B"/>
    <w:rsid w:val="00E819C4"/>
    <w:rsid w:val="00ED5E7E"/>
    <w:rsid w:val="00F00FBA"/>
    <w:rsid w:val="00F038FA"/>
    <w:rsid w:val="00F27CAA"/>
    <w:rsid w:val="00F34016"/>
    <w:rsid w:val="00F40947"/>
    <w:rsid w:val="00F478FE"/>
    <w:rsid w:val="00F51A50"/>
    <w:rsid w:val="00F55D04"/>
    <w:rsid w:val="00F71BE7"/>
    <w:rsid w:val="00FA0987"/>
    <w:rsid w:val="00FE6FCF"/>
    <w:rsid w:val="00FF4B5A"/>
    <w:rsid w:val="00FF5E07"/>
    <w:rsid w:val="00FF7FD2"/>
    <w:rsid w:val="012C3F8C"/>
    <w:rsid w:val="061A79D2"/>
    <w:rsid w:val="0C2F2B1C"/>
    <w:rsid w:val="0D1A52A7"/>
    <w:rsid w:val="0D3B5CCB"/>
    <w:rsid w:val="13BE2A36"/>
    <w:rsid w:val="15510CA1"/>
    <w:rsid w:val="184B69AD"/>
    <w:rsid w:val="18661B29"/>
    <w:rsid w:val="1B5123FE"/>
    <w:rsid w:val="1DFB7C88"/>
    <w:rsid w:val="228B4597"/>
    <w:rsid w:val="2ADE5AD5"/>
    <w:rsid w:val="30222565"/>
    <w:rsid w:val="355B68F0"/>
    <w:rsid w:val="38366039"/>
    <w:rsid w:val="3BDF5CB0"/>
    <w:rsid w:val="436D522A"/>
    <w:rsid w:val="50496BAE"/>
    <w:rsid w:val="594F7688"/>
    <w:rsid w:val="64996649"/>
    <w:rsid w:val="65DB66C3"/>
    <w:rsid w:val="6CB77A39"/>
    <w:rsid w:val="74884536"/>
    <w:rsid w:val="75895B91"/>
    <w:rsid w:val="77B94362"/>
    <w:rsid w:val="7A7871BC"/>
    <w:rsid w:val="7D9D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rPr>
      <w:sz w:val="24"/>
    </w:rPr>
  </w:style>
  <w:style w:type="paragraph" w:styleId="4">
    <w:name w:val="Balloon Text"/>
    <w:basedOn w:val="1"/>
    <w:link w:val="2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0"/>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列出段落2"/>
    <w:basedOn w:val="1"/>
    <w:qFormat/>
    <w:uiPriority w:val="0"/>
    <w:pPr>
      <w:ind w:firstLine="420" w:firstLineChars="200"/>
    </w:pPr>
  </w:style>
  <w:style w:type="character" w:customStyle="1" w:styleId="14">
    <w:name w:val="段 Char"/>
    <w:link w:val="15"/>
    <w:qFormat/>
    <w:uiPriority w:val="0"/>
    <w:rPr>
      <w:rFonts w:ascii="宋体"/>
    </w:rPr>
  </w:style>
  <w:style w:type="paragraph" w:customStyle="1" w:styleId="15">
    <w:name w:val="段"/>
    <w:link w:val="1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6">
    <w:name w:val="Body text|1"/>
    <w:basedOn w:val="1"/>
    <w:qFormat/>
    <w:uiPriority w:val="0"/>
    <w:pPr>
      <w:spacing w:line="348" w:lineRule="auto"/>
    </w:pPr>
    <w:rPr>
      <w:rFonts w:ascii="宋体" w:hAnsi="宋体" w:cs="宋体"/>
      <w:sz w:val="20"/>
      <w:szCs w:val="20"/>
      <w:lang w:val="zh-TW" w:eastAsia="zh-TW" w:bidi="zh-TW"/>
    </w:rPr>
  </w:style>
  <w:style w:type="paragraph" w:customStyle="1" w:styleId="17">
    <w:name w:val="标准-正文"/>
    <w:qFormat/>
    <w:uiPriority w:val="0"/>
    <w:pPr>
      <w:autoSpaceDE w:val="0"/>
      <w:autoSpaceDN w:val="0"/>
      <w:adjustRightInd w:val="0"/>
      <w:snapToGrid w:val="0"/>
      <w:spacing w:line="360" w:lineRule="auto"/>
      <w:ind w:right="-50" w:rightChars="-50" w:firstLine="199" w:firstLineChars="199"/>
      <w:jc w:val="both"/>
    </w:pPr>
    <w:rPr>
      <w:rFonts w:ascii="Times New Roman" w:hAnsi="Times New Roman" w:eastAsia="宋体" w:cs="Times New Roman"/>
      <w:spacing w:val="2"/>
      <w:sz w:val="24"/>
      <w:lang w:val="en-US" w:eastAsia="zh-CN" w:bidi="ar-SA"/>
    </w:rPr>
  </w:style>
  <w:style w:type="character" w:customStyle="1" w:styleId="18">
    <w:name w:val="不明显参考1"/>
    <w:qFormat/>
    <w:uiPriority w:val="31"/>
  </w:style>
  <w:style w:type="paragraph" w:customStyle="1" w:styleId="19">
    <w:name w:val="一级条标题"/>
    <w:next w:val="15"/>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0">
    <w:name w:val="批注文字 字符"/>
    <w:basedOn w:val="9"/>
    <w:link w:val="3"/>
    <w:qFormat/>
    <w:uiPriority w:val="99"/>
    <w:rPr>
      <w:rFonts w:ascii="Times New Roman" w:hAnsi="Times New Roman" w:eastAsia="宋体" w:cs="Times New Roman"/>
      <w:sz w:val="24"/>
      <w:szCs w:val="24"/>
    </w:rPr>
  </w:style>
  <w:style w:type="paragraph" w:customStyle="1" w:styleId="21">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2">
    <w:name w:val="三级条标题"/>
    <w:basedOn w:val="1"/>
    <w:next w:val="15"/>
    <w:qFormat/>
    <w:uiPriority w:val="0"/>
    <w:pPr>
      <w:widowControl/>
      <w:spacing w:before="50" w:beforeLines="50" w:after="50" w:afterLines="50"/>
      <w:jc w:val="left"/>
      <w:outlineLvl w:val="4"/>
    </w:pPr>
    <w:rPr>
      <w:rFonts w:ascii="黑体" w:eastAsia="黑体"/>
      <w:kern w:val="0"/>
      <w:szCs w:val="21"/>
    </w:rPr>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框文本 字符"/>
    <w:basedOn w:val="9"/>
    <w:link w:val="4"/>
    <w:semiHidden/>
    <w:qFormat/>
    <w:uiPriority w:val="99"/>
    <w:rPr>
      <w:rFonts w:ascii="Times New Roman" w:hAnsi="Times New Roman" w:eastAsia="宋体" w:cs="Times New Roman"/>
      <w:sz w:val="18"/>
      <w:szCs w:val="18"/>
    </w:rPr>
  </w:style>
  <w:style w:type="paragraph" w:styleId="25">
    <w:name w:val="List Paragraph"/>
    <w:basedOn w:val="1"/>
    <w:qFormat/>
    <w:uiPriority w:val="34"/>
    <w:pPr>
      <w:ind w:firstLine="420" w:firstLineChars="200"/>
    </w:pPr>
  </w:style>
  <w:style w:type="paragraph" w:customStyle="1" w:styleId="2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标题 1 字符"/>
    <w:basedOn w:val="9"/>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5615</Characters>
  <Lines>46</Lines>
  <Paragraphs>13</Paragraphs>
  <TotalTime>3</TotalTime>
  <ScaleCrop>false</ScaleCrop>
  <LinksUpToDate>false</LinksUpToDate>
  <CharactersWithSpaces>6587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2022-03-01T06:19:00Z</dcterms:created>
  <dc:creator>1254667123@qq.com</dc:creator>
  <cp:lastModifiedBy>嘻嘻嘻嘻哈</cp:lastModifiedBy>
  <dcterms:modified xsi:type="dcterms:W3CDTF">2022-03-14T07:13:28Z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98AC428A4D2741BD9E2EF5A27E6A54F0</vt:lpwstr>
  </property>
</Properties>
</file>